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77193"/>
      <w:bookmarkStart w:id="4" w:name="_Toc15396475"/>
      <w:bookmarkStart w:id="5" w:name="_Toc15377425"/>
      <w:r>
        <w:rPr>
          <w:rFonts w:hint="eastAsia" w:ascii="黑体" w:hAnsi="黑体" w:eastAsia="黑体"/>
          <w:color w:val="000000"/>
          <w:sz w:val="72"/>
          <w:szCs w:val="72"/>
          <w:lang w:eastAsia="zh-CN"/>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96476"/>
      <w:bookmarkStart w:id="7" w:name="_Toc15378442"/>
      <w:bookmarkStart w:id="8" w:name="_Toc15377194"/>
      <w:bookmarkStart w:id="9" w:name="_Toc15396598"/>
      <w:bookmarkStart w:id="10" w:name="_Toc15377426"/>
      <w:r>
        <w:rPr>
          <w:rFonts w:hint="eastAsia" w:ascii="方正小标宋简体" w:hAnsi="宋体" w:eastAsia="方正小标宋简体"/>
          <w:color w:val="000000"/>
          <w:sz w:val="72"/>
          <w:szCs w:val="72"/>
        </w:rPr>
        <w:t>四川省凉山彝族自治州委党校(本级)</w:t>
      </w:r>
      <w:bookmarkEnd w:id="0"/>
      <w:bookmarkStart w:id="11" w:name="_Toc15306268"/>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pStyle w:val="2"/>
        <w:rPr>
          <w:rFonts w:hint="eastAsia" w:ascii="黑体" w:hAnsi="黑体" w:eastAsia="黑体"/>
          <w:color w:val="000000"/>
          <w:sz w:val="48"/>
          <w:szCs w:val="48"/>
        </w:rPr>
      </w:pPr>
    </w:p>
    <w:p>
      <w:pPr>
        <w:pStyle w:val="2"/>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pStyle w:val="2"/>
        <w:rPr>
          <w:rFonts w:hint="eastAsia"/>
        </w:rPr>
      </w:pPr>
    </w:p>
    <w:p>
      <w:pPr>
        <w:widowControl/>
        <w:jc w:val="center"/>
        <w:rPr>
          <w:rFonts w:hint="eastAsia" w:ascii="黑体" w:hAnsi="黑体" w:eastAsia="黑体"/>
          <w:color w:val="000000"/>
          <w:sz w:val="48"/>
          <w:szCs w:val="48"/>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p>
    <w:p/>
    <w:p>
      <w:pPr>
        <w:pStyle w:val="11"/>
        <w:rPr>
          <w:rFonts w:cstheme="minorBidi"/>
        </w:rPr>
      </w:pPr>
      <w:r>
        <w:fldChar w:fldCharType="begin"/>
      </w:r>
      <w:r>
        <w:instrText xml:space="preserve"> HYPERLINK \l "_Toc15396599" </w:instrText>
      </w:r>
      <w:r>
        <w:fldChar w:fldCharType="separate"/>
      </w:r>
      <w:r>
        <w:rPr>
          <w:rStyle w:val="17"/>
          <w:rFonts w:hint="eastAsia"/>
        </w:rPr>
        <w:t>第一部分</w:t>
      </w:r>
      <w:r>
        <w:rPr>
          <w:rStyle w:val="17"/>
        </w:rPr>
        <w:t xml:space="preserve"> </w:t>
      </w:r>
      <w:r>
        <w:rPr>
          <w:rStyle w:val="17"/>
          <w:rFonts w:hint="eastAsia"/>
        </w:rPr>
        <w:t>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7"/>
          <w:rFonts w:hint="eastAsia"/>
        </w:rPr>
        <w:t>第二部分</w:t>
      </w:r>
      <w:r>
        <w:rPr>
          <w:rStyle w:val="17"/>
        </w:rPr>
        <w:t xml:space="preserve"> </w:t>
      </w:r>
      <w:r>
        <w:rPr>
          <w:rStyle w:val="17"/>
          <w:rFonts w:hint="eastAsia"/>
          <w:lang w:eastAsia="zh-CN"/>
        </w:rPr>
        <w:t>2020</w:t>
      </w:r>
      <w:r>
        <w:rPr>
          <w:rStyle w:val="17"/>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2"/>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2"/>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十、</w:t>
      </w:r>
      <w:r>
        <w:rPr>
          <w:rStyle w:val="17"/>
          <w:rFonts w:hint="eastAsia" w:ascii="仿宋" w:hAnsi="仿宋" w:eastAsia="仿宋"/>
          <w:sz w:val="28"/>
          <w:szCs w:val="28"/>
        </w:rPr>
        <w:t xml:space="preserve"> 预算绩效</w:t>
      </w:r>
      <w:r>
        <w:rPr>
          <w:rStyle w:val="17"/>
          <w:rFonts w:hint="eastAsia" w:ascii="仿宋" w:hAnsi="仿宋" w:eastAsia="仿宋" w:cstheme="majorBidi"/>
          <w:bCs/>
          <w:sz w:val="28"/>
          <w:szCs w:val="28"/>
        </w:rPr>
        <w:t>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eastAsia="仿宋" w:cstheme="minorBidi"/>
          <w:lang w:val="en-US" w:eastAsia="zh-CN"/>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33</w:t>
      </w:r>
      <w:r>
        <w:fldChar w:fldCharType="end"/>
      </w:r>
      <w:r>
        <w:fldChar w:fldCharType="end"/>
      </w:r>
    </w:p>
    <w:p>
      <w:pPr>
        <w:pStyle w:val="11"/>
        <w:rPr>
          <w:rFonts w:hint="eastAsia" w:eastAsia="仿宋" w:cstheme="minorBidi"/>
          <w:lang w:val="en-US" w:eastAsia="zh-CN"/>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w:t>
      </w:r>
      <w:r>
        <w:rPr>
          <w:rStyle w:val="17"/>
          <w:bCs/>
          <w:kern w:val="44"/>
        </w:rPr>
        <w:t xml:space="preserve"> </w:t>
      </w:r>
      <w:r>
        <w:rPr>
          <w:rStyle w:val="17"/>
          <w:rFonts w:hint="eastAsia"/>
          <w:bCs/>
          <w:kern w:val="44"/>
        </w:rPr>
        <w:t>附件</w:t>
      </w:r>
      <w:r>
        <w:tab/>
      </w:r>
      <w:r>
        <w:fldChar w:fldCharType="begin"/>
      </w:r>
      <w:r>
        <w:instrText xml:space="preserve"> PAGEREF _Toc15396614 \h </w:instrText>
      </w:r>
      <w:r>
        <w:fldChar w:fldCharType="separate"/>
      </w:r>
      <w:r>
        <w:t>35</w:t>
      </w:r>
      <w:r>
        <w:fldChar w:fldCharType="end"/>
      </w:r>
      <w:r>
        <w:fldChar w:fldCharType="end"/>
      </w:r>
    </w:p>
    <w:p>
      <w:pPr>
        <w:pStyle w:val="12"/>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35</w:t>
      </w:r>
      <w:r>
        <w:rPr>
          <w:rFonts w:ascii="仿宋" w:hAnsi="仿宋" w:eastAsia="仿宋"/>
          <w:sz w:val="28"/>
          <w:szCs w:val="28"/>
        </w:rPr>
        <w:fldChar w:fldCharType="end"/>
      </w:r>
      <w:r>
        <w:rPr>
          <w:rFonts w:ascii="仿宋" w:hAnsi="仿宋" w:eastAsia="仿宋"/>
          <w:sz w:val="28"/>
          <w:szCs w:val="28"/>
        </w:rPr>
        <w:fldChar w:fldCharType="end"/>
      </w:r>
    </w:p>
    <w:p>
      <w:pPr>
        <w:pStyle w:val="12"/>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w:t>
      </w:r>
      <w:r>
        <w:rPr>
          <w:rStyle w:val="17"/>
          <w:bCs/>
          <w:kern w:val="44"/>
        </w:rPr>
        <w:t xml:space="preserve"> </w:t>
      </w:r>
      <w:r>
        <w:rPr>
          <w:rStyle w:val="17"/>
          <w:rFonts w:hint="eastAsia"/>
          <w:bCs/>
          <w:kern w:val="44"/>
        </w:rPr>
        <w:t>附表</w:t>
      </w:r>
      <w:r>
        <w:tab/>
      </w:r>
      <w:r>
        <w:fldChar w:fldCharType="begin"/>
      </w:r>
      <w:r>
        <w:instrText xml:space="preserve"> PAGEREF _Toc15396618 \h </w:instrText>
      </w:r>
      <w:r>
        <w:fldChar w:fldCharType="separate"/>
      </w:r>
      <w:r>
        <w:t>48</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w:t>
      </w:r>
      <w:r>
        <w:rPr>
          <w:rStyle w:val="17"/>
          <w:rFonts w:hint="eastAsia" w:ascii="仿宋" w:hAnsi="仿宋" w:eastAsia="仿宋"/>
          <w:sz w:val="28"/>
          <w:szCs w:val="28"/>
          <w:lang w:eastAsia="zh-CN"/>
        </w:rPr>
        <w:t>决算</w:t>
      </w:r>
      <w:r>
        <w:rPr>
          <w:rStyle w:val="17"/>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w:t>
      </w:r>
      <w:r>
        <w:rPr>
          <w:rStyle w:val="17"/>
          <w:rFonts w:hint="eastAsia" w:ascii="仿宋" w:hAnsi="仿宋" w:eastAsia="仿宋"/>
          <w:sz w:val="28"/>
          <w:szCs w:val="28"/>
          <w:lang w:eastAsia="zh-CN"/>
        </w:rPr>
        <w:t>决算</w:t>
      </w:r>
      <w:r>
        <w:rPr>
          <w:rStyle w:val="17"/>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rPr>
          <w:rFonts w:hint="default" w:eastAsia="仿宋"/>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w:t>
      </w:r>
      <w:r>
        <w:rPr>
          <w:rStyle w:val="17"/>
          <w:rFonts w:hint="eastAsia" w:ascii="仿宋" w:hAnsi="仿宋" w:eastAsia="仿宋"/>
          <w:sz w:val="28"/>
          <w:szCs w:val="28"/>
          <w:lang w:eastAsia="zh-CN"/>
        </w:rPr>
        <w:t>财政拨款收入</w:t>
      </w:r>
      <w:r>
        <w:rPr>
          <w:rStyle w:val="17"/>
          <w:rFonts w:hint="eastAsia" w:ascii="仿宋" w:hAnsi="仿宋" w:eastAsia="仿宋"/>
          <w:sz w:val="28"/>
          <w:szCs w:val="28"/>
        </w:rPr>
        <w:t>支出决算表</w:t>
      </w:r>
      <w:r>
        <w:rPr>
          <w:rStyle w:val="17"/>
          <w:rFonts w:hint="eastAsia" w:ascii="仿宋" w:hAnsi="仿宋" w:eastAsia="仿宋"/>
          <w:sz w:val="28"/>
          <w:szCs w:val="28"/>
          <w:lang w:eastAsia="zh-CN"/>
        </w:rPr>
        <w:t>……………</w:t>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2"/>
      </w:pPr>
      <w:r>
        <w:rPr>
          <w:rFonts w:hint="eastAsia" w:ascii="仿宋" w:hAnsi="仿宋" w:eastAsia="仿宋"/>
          <w:sz w:val="28"/>
          <w:szCs w:val="28"/>
        </w:rPr>
        <w:t>十</w:t>
      </w:r>
      <w:r>
        <w:rPr>
          <w:rFonts w:hint="eastAsia" w:ascii="仿宋" w:hAnsi="仿宋" w:eastAsia="仿宋"/>
          <w:sz w:val="28"/>
          <w:szCs w:val="28"/>
          <w:lang w:eastAsia="zh-CN"/>
        </w:rPr>
        <w:t>四</w:t>
      </w:r>
      <w:r>
        <w:rPr>
          <w:rFonts w:hint="eastAsia" w:ascii="仿宋" w:hAnsi="仿宋" w:eastAsia="仿宋"/>
          <w:sz w:val="28"/>
          <w:szCs w:val="28"/>
        </w:rPr>
        <w:t>、</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w:t>
      </w:r>
      <w:r>
        <w:rPr>
          <w:rStyle w:val="17"/>
          <w:rFonts w:hint="eastAsia" w:ascii="仿宋" w:hAnsi="仿宋" w:eastAsia="仿宋"/>
          <w:sz w:val="28"/>
          <w:szCs w:val="28"/>
          <w:lang w:eastAsia="zh-CN"/>
        </w:rPr>
        <w:t>财政拨款</w:t>
      </w:r>
      <w:r>
        <w:rPr>
          <w:rStyle w:val="17"/>
          <w:rFonts w:hint="eastAsia" w:ascii="仿宋" w:hAnsi="仿宋" w:eastAsia="仿宋"/>
          <w:sz w:val="28"/>
          <w:szCs w:val="28"/>
        </w:rPr>
        <w:t>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黑体" w:hAnsi="黑体" w:eastAsia="黑体"/>
          <w:bCs/>
          <w:kern w:val="44"/>
          <w:sz w:val="44"/>
          <w:szCs w:val="44"/>
        </w:rPr>
      </w:pPr>
      <w:r>
        <w:rPr>
          <w:rFonts w:ascii="仿宋" w:hAnsi="仿宋" w:eastAsia="仿宋"/>
          <w:color w:val="000000"/>
          <w:sz w:val="24"/>
        </w:rPr>
        <w:fldChar w:fldCharType="end"/>
      </w:r>
      <w:bookmarkStart w:id="12" w:name="_Toc15377196"/>
      <w:bookmarkStart w:id="13" w:name="_Toc15396599"/>
      <w:r>
        <w:rPr>
          <w:rFonts w:ascii="黑体" w:hAnsi="黑体" w:eastAsia="黑体"/>
          <w:b/>
        </w:rPr>
        <w:br w:type="page"/>
      </w:r>
    </w:p>
    <w:p>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（一）主要职能。（职能参照省政府批准的三定方案）</w:t>
      </w:r>
      <w:bookmarkEnd w:id="16"/>
      <w:bookmarkEnd w:id="17"/>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州委党校的职能是培训轮训各级党员领导干部及后备干部，培养理论干部；承办党委和政府举办的专题研讨班；围绕国际国内出现的新情况新问题开展科学研究，承担党委和政府下达的调研任务，推进理论创新。针对改革开放和社会主义现代化进程中的重大理论和现实问题，开展马克思主义中国化最新成果的理论宣传，开展党的路线方针政策的宣传。按照国家有关法律法规和政策规定，开展学位研究生以及其他形式的干部继续教育和培训。设有教务科、学员管理科等17个职能科室，其中科研科、马克思主义基本理论教研室、经济学教研室、综合教研室、民族理论研究室等科室承担了教学科研的主要任务。</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hint="eastAsia" w:ascii="仿宋" w:hAnsi="仿宋" w:eastAsia="仿宋"/>
          <w:bCs/>
          <w:color w:val="000000"/>
          <w:sz w:val="32"/>
          <w:szCs w:val="32"/>
          <w:lang w:eastAsia="zh-CN"/>
        </w:rPr>
        <w:t>2020</w:t>
      </w:r>
      <w:r>
        <w:rPr>
          <w:rFonts w:hint="eastAsia" w:ascii="仿宋" w:hAnsi="仿宋" w:eastAsia="仿宋"/>
          <w:bCs/>
          <w:color w:val="000000"/>
          <w:sz w:val="32"/>
          <w:szCs w:val="32"/>
        </w:rPr>
        <w:t>年重点工作完成情况。</w:t>
      </w:r>
      <w:bookmarkEnd w:id="18"/>
      <w:bookmarkEnd w:id="19"/>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我校坚持以习近平总书记关于党校办学治校系列重要指示精神为指导，牢牢把握党校姓党根本原则，以贯彻落实《中国共产党党校（行政学院）工作条例》为契机，以县级党校分类建设、联合共建四川长征干部学院为抓手，充分发挥干部培训、思想引领、理论建设、决策咨询作用，不断提升党校办学质量水平，为培养造就忠诚干净担当的高素质专业化干部队伍、推动凉山脱贫奔康转型发展作出积极贡献。全年共举办各级各类轮训培训班31期，轮训培训干部2604人次，其中主体班8期，轮训培训干部540人次，其他各类专题培训班18期，轮训培训干部1862人次；统筹承办县级党校主体班5期，培训干部202人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sz w:val="32"/>
          <w:szCs w:val="32"/>
          <w:lang w:val="en-US" w:eastAsia="zh-CN"/>
        </w:rPr>
      </w:pPr>
      <w:bookmarkStart w:id="20" w:name="_Toc15396601"/>
      <w:bookmarkStart w:id="21" w:name="_Toc15377200"/>
      <w:r>
        <w:rPr>
          <w:rFonts w:hint="eastAsia" w:ascii="仿宋" w:hAnsi="仿宋" w:eastAsia="仿宋" w:cs="仿宋"/>
          <w:b/>
          <w:bCs/>
          <w:sz w:val="32"/>
          <w:szCs w:val="32"/>
          <w:lang w:val="en-US" w:eastAsia="zh-CN"/>
        </w:rPr>
        <w:t>坚持政治强校，在坚持党校姓党、做优主业主课上取得新进展。</w:t>
      </w:r>
      <w:r>
        <w:rPr>
          <w:rFonts w:hint="eastAsia" w:ascii="仿宋" w:hAnsi="仿宋" w:eastAsia="仿宋" w:cs="仿宋"/>
          <w:b w:val="0"/>
          <w:bCs w:val="0"/>
          <w:color w:val="000000"/>
          <w:kern w:val="2"/>
          <w:sz w:val="32"/>
          <w:szCs w:val="32"/>
          <w:lang w:val="en-US" w:eastAsia="zh-CN" w:bidi="ar-SA"/>
        </w:rPr>
        <w:t>一是把旗帜鲜明讲政治作为根本要求。二是把学好用好讲好习近平新时代中国特色社会主义思想作为头等大事。三是把党的理论教育和党性教育作为重要内容。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b/>
          <w:bCs/>
          <w:sz w:val="32"/>
          <w:szCs w:val="32"/>
          <w:lang w:val="en-US" w:eastAsia="zh-CN"/>
        </w:rPr>
        <w:t>坚持质量立校，在提高办学水平、强化办学保障上取得新进展。</w:t>
      </w:r>
      <w:r>
        <w:rPr>
          <w:rFonts w:hint="eastAsia" w:ascii="仿宋" w:hAnsi="仿宋" w:eastAsia="仿宋" w:cs="仿宋"/>
          <w:color w:val="000000"/>
          <w:kern w:val="2"/>
          <w:sz w:val="32"/>
          <w:szCs w:val="32"/>
          <w:lang w:val="en-US" w:eastAsia="zh-CN" w:bidi="ar-SA"/>
        </w:rPr>
        <w:t>一是教学质量不断提升。二是科研基础不断夯实。三是队伍建设不断加强。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Cs/>
          <w:sz w:val="32"/>
          <w:szCs w:val="32"/>
          <w:lang w:val="en-US" w:eastAsia="zh-CN"/>
        </w:rPr>
      </w:pPr>
      <w:r>
        <w:rPr>
          <w:rFonts w:hint="eastAsia" w:ascii="仿宋" w:hAnsi="仿宋" w:eastAsia="仿宋" w:cs="仿宋"/>
          <w:b/>
          <w:bCs/>
          <w:sz w:val="32"/>
          <w:szCs w:val="32"/>
          <w:lang w:val="en-US" w:eastAsia="zh-CN"/>
        </w:rPr>
        <w:t>坚持改革兴校，在增强办学活力、凝聚发展合力上取得新进展。</w:t>
      </w:r>
      <w:r>
        <w:rPr>
          <w:rFonts w:hint="eastAsia" w:ascii="仿宋" w:hAnsi="仿宋" w:eastAsia="仿宋" w:cs="仿宋"/>
          <w:b w:val="0"/>
          <w:bCs w:val="0"/>
          <w:color w:val="000000"/>
          <w:kern w:val="2"/>
          <w:sz w:val="32"/>
          <w:szCs w:val="32"/>
          <w:lang w:val="en-US" w:eastAsia="zh-CN" w:bidi="ar-SA"/>
        </w:rPr>
        <w:t>一是以县级党校分类建设为重点，提升整体发展水平。二是以联合共建四川长征干部学院为契机，打造干部教育培训“红色殿堂”。三是以办学质量评估为抓手，推动标准化建设、规范化运行。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Cs/>
          <w:sz w:val="32"/>
          <w:szCs w:val="32"/>
          <w:lang w:val="en-US" w:eastAsia="zh-CN"/>
        </w:rPr>
      </w:pPr>
      <w:r>
        <w:rPr>
          <w:rFonts w:hint="eastAsia" w:ascii="仿宋" w:hAnsi="仿宋" w:eastAsia="仿宋" w:cs="仿宋"/>
          <w:b/>
          <w:bCs/>
          <w:sz w:val="32"/>
          <w:szCs w:val="32"/>
          <w:lang w:val="en-US" w:eastAsia="zh-CN"/>
        </w:rPr>
        <w:t>坚持从严治校，在加强自身建设、树立良好形象上取得新进展。</w:t>
      </w:r>
      <w:r>
        <w:rPr>
          <w:rFonts w:hint="eastAsia" w:ascii="仿宋" w:hAnsi="仿宋" w:eastAsia="仿宋" w:cs="仿宋"/>
          <w:b w:val="0"/>
          <w:bCs w:val="0"/>
          <w:sz w:val="32"/>
          <w:szCs w:val="32"/>
          <w:lang w:val="en-US" w:eastAsia="zh-CN"/>
        </w:rPr>
        <w:t>一是抓党建引领筑牢战斗堡垒。二是抓党风廉政建设营造风清气正政治生态。三是抓施教治学树立优良校风学风。</w:t>
      </w:r>
    </w:p>
    <w:p>
      <w:pPr>
        <w:pStyle w:val="2"/>
        <w:rPr>
          <w:rFonts w:hint="eastAsia"/>
          <w:lang w:val="en-US" w:eastAsia="zh-CN"/>
        </w:rPr>
      </w:pPr>
    </w:p>
    <w:p>
      <w:pPr>
        <w:pStyle w:val="4"/>
        <w:rPr>
          <w:rStyle w:val="27"/>
          <w:b w:val="0"/>
          <w:bCs w:val="0"/>
        </w:rPr>
      </w:pPr>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凉山州委党校为</w:t>
      </w:r>
      <w:r>
        <w:rPr>
          <w:rFonts w:hint="eastAsia" w:ascii="仿宋_GB2312" w:hAnsi="仿宋" w:eastAsia="仿宋_GB2312"/>
          <w:sz w:val="32"/>
          <w:szCs w:val="32"/>
          <w:lang w:eastAsia="zh-CN"/>
        </w:rPr>
        <w:t>参照公务员管理事业单位，</w:t>
      </w:r>
      <w:r>
        <w:rPr>
          <w:rFonts w:hint="eastAsia" w:ascii="仿宋_GB2312" w:hAnsi="仿宋" w:eastAsia="仿宋_GB2312"/>
          <w:sz w:val="32"/>
          <w:szCs w:val="32"/>
        </w:rPr>
        <w:t>州本级独立核算机构一个，本年无变动。</w:t>
      </w:r>
    </w:p>
    <w:p>
      <w:pPr>
        <w:snapToGrid w:val="0"/>
        <w:spacing w:line="520" w:lineRule="exact"/>
        <w:ind w:firstLine="640" w:firstLineChars="200"/>
        <w:rPr>
          <w:rFonts w:ascii="仿宋" w:hAnsi="仿宋" w:eastAsia="仿宋"/>
          <w:color w:val="000000"/>
          <w:kern w:val="0"/>
          <w:sz w:val="32"/>
          <w:szCs w:val="32"/>
        </w:rPr>
      </w:pPr>
      <w:r>
        <w:rPr>
          <w:rFonts w:hint="eastAsia" w:ascii="仿宋_GB2312" w:hAnsi="仿宋" w:eastAsia="仿宋_GB2312"/>
          <w:sz w:val="32"/>
          <w:szCs w:val="32"/>
        </w:rPr>
        <w:t>2020年年末在职人员实有数为78人，其中参照公务员管理人员34人，专业技术人员37人，事业技术工人7人。本年度人员变动情况如下：事业技术工人退休2人；公招录用参公管理人员5名，调出2名；新聘专业技术人员9名，调出1名；行政退休人员减少2人，事业退休减少1人。</w:t>
      </w:r>
      <w:r>
        <w:rPr>
          <w:rFonts w:ascii="仿宋" w:hAnsi="仿宋" w:eastAsia="仿宋"/>
          <w:color w:val="000000"/>
          <w:sz w:val="32"/>
          <w:szCs w:val="32"/>
        </w:rPr>
        <w:br w:type="page"/>
      </w:r>
    </w:p>
    <w:p>
      <w:pPr>
        <w:pStyle w:val="3"/>
        <w:ind w:right="440"/>
        <w:jc w:val="right"/>
        <w:rPr>
          <w:rStyle w:val="2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lang w:eastAsia="zh-CN"/>
        </w:rPr>
        <w:t>2020</w:t>
      </w:r>
      <w:r>
        <w:rPr>
          <w:rStyle w:val="26"/>
          <w:rFonts w:hint="eastAsia" w:ascii="黑体" w:hAnsi="黑体" w:eastAsia="黑体"/>
          <w:b w:val="0"/>
          <w:bCs w:val="0"/>
        </w:rPr>
        <w:t>年度部门决算情况说明</w:t>
      </w:r>
      <w:bookmarkEnd w:id="22"/>
      <w:bookmarkEnd w:id="23"/>
    </w:p>
    <w:p/>
    <w:p>
      <w:pPr>
        <w:pStyle w:val="25"/>
        <w:numPr>
          <w:ilvl w:val="0"/>
          <w:numId w:val="2"/>
        </w:numPr>
        <w:spacing w:line="600" w:lineRule="exact"/>
        <w:ind w:firstLineChars="0"/>
        <w:outlineLvl w:val="1"/>
        <w:rPr>
          <w:rStyle w:val="2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pStyle w:val="2"/>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2812.15</w:t>
      </w:r>
      <w:r>
        <w:rPr>
          <w:rFonts w:hint="eastAsia" w:ascii="仿宋" w:hAnsi="仿宋" w:eastAsia="仿宋"/>
          <w:color w:val="000000"/>
          <w:sz w:val="32"/>
          <w:szCs w:val="32"/>
        </w:rPr>
        <w:t>万元。与</w:t>
      </w:r>
      <w:r>
        <w:rPr>
          <w:rFonts w:hint="eastAsia" w:ascii="仿宋" w:hAnsi="仿宋" w:eastAsia="仿宋"/>
          <w:color w:val="000000"/>
          <w:sz w:val="32"/>
          <w:szCs w:val="32"/>
          <w:lang w:eastAsia="zh-CN"/>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1019.03万元，增长56.83%，</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出减少</w:t>
      </w:r>
      <w:r>
        <w:rPr>
          <w:rFonts w:hint="eastAsia" w:ascii="仿宋" w:hAnsi="仿宋" w:eastAsia="仿宋"/>
          <w:color w:val="000000"/>
          <w:sz w:val="32"/>
          <w:szCs w:val="32"/>
          <w:lang w:val="en-US" w:eastAsia="zh-CN"/>
        </w:rPr>
        <w:t>26.89万元，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1.51</w:t>
      </w:r>
      <w:r>
        <w:rPr>
          <w:rFonts w:ascii="仿宋" w:hAnsi="仿宋" w:eastAsia="仿宋"/>
          <w:color w:val="000000"/>
          <w:sz w:val="32"/>
          <w:szCs w:val="32"/>
        </w:rPr>
        <w:t>%</w:t>
      </w:r>
      <w:r>
        <w:rPr>
          <w:rFonts w:hint="eastAsia" w:ascii="仿宋" w:hAnsi="仿宋" w:eastAsia="仿宋"/>
          <w:color w:val="000000"/>
          <w:sz w:val="32"/>
          <w:szCs w:val="32"/>
        </w:rPr>
        <w:t>。变动</w:t>
      </w:r>
      <w:r>
        <w:rPr>
          <w:rFonts w:hint="eastAsia" w:ascii="仿宋" w:hAnsi="仿宋" w:eastAsia="仿宋"/>
          <w:color w:val="000000"/>
          <w:sz w:val="32"/>
          <w:szCs w:val="32"/>
          <w:lang w:eastAsia="zh-CN"/>
        </w:rPr>
        <w:t>的主要</w:t>
      </w:r>
      <w:r>
        <w:rPr>
          <w:rFonts w:hint="eastAsia" w:ascii="仿宋" w:hAnsi="仿宋" w:eastAsia="仿宋"/>
          <w:color w:val="000000"/>
          <w:sz w:val="32"/>
          <w:szCs w:val="32"/>
        </w:rPr>
        <w:t>原因</w:t>
      </w:r>
      <w:r>
        <w:rPr>
          <w:rFonts w:hint="eastAsia" w:ascii="仿宋" w:hAnsi="仿宋" w:eastAsia="仿宋"/>
          <w:color w:val="000000"/>
          <w:sz w:val="32"/>
          <w:szCs w:val="32"/>
          <w:lang w:eastAsia="zh-CN"/>
        </w:rPr>
        <w:t>如下：</w:t>
      </w:r>
    </w:p>
    <w:p>
      <w:pPr>
        <w:pStyle w:val="2"/>
        <w:numPr>
          <w:ilvl w:val="0"/>
          <w:numId w:val="3"/>
        </w:numPr>
        <w:rPr>
          <w:rFonts w:hint="eastAsia" w:ascii="仿宋" w:hAnsi="仿宋" w:eastAsia="仿宋"/>
          <w:color w:val="000000"/>
          <w:sz w:val="32"/>
          <w:szCs w:val="32"/>
        </w:rPr>
      </w:pPr>
      <w:r>
        <w:rPr>
          <w:rFonts w:hint="eastAsia" w:ascii="仿宋" w:hAnsi="仿宋" w:eastAsia="仿宋"/>
          <w:color w:val="000000"/>
          <w:sz w:val="32"/>
          <w:szCs w:val="32"/>
          <w:lang w:eastAsia="zh-CN"/>
        </w:rPr>
        <w:t>基本支出变动：（</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）人员增减变动导致工资福利及公用经费等相关支出</w:t>
      </w:r>
      <w:r>
        <w:rPr>
          <w:rFonts w:hint="eastAsia" w:ascii="仿宋" w:hAnsi="仿宋" w:eastAsia="仿宋"/>
          <w:color w:val="000000"/>
          <w:sz w:val="32"/>
          <w:szCs w:val="32"/>
        </w:rPr>
        <w:t>同步</w:t>
      </w:r>
      <w:r>
        <w:rPr>
          <w:rFonts w:hint="eastAsia" w:ascii="仿宋" w:hAnsi="仿宋" w:eastAsia="仿宋"/>
          <w:color w:val="000000"/>
          <w:sz w:val="32"/>
          <w:szCs w:val="32"/>
          <w:lang w:eastAsia="zh-CN"/>
        </w:rPr>
        <w:t>增减；（</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）本年调增了事业退休人员的生活补助标准、住房公积金的缴存基数、</w:t>
      </w:r>
      <w:r>
        <w:rPr>
          <w:rFonts w:hint="eastAsia" w:ascii="仿宋" w:hAnsi="仿宋" w:eastAsia="仿宋"/>
          <w:color w:val="000000"/>
          <w:sz w:val="32"/>
          <w:szCs w:val="32"/>
          <w:lang w:val="en-US" w:eastAsia="zh-CN"/>
        </w:rPr>
        <w:t>在职职工基本医疗保险费费率。</w:t>
      </w:r>
    </w:p>
    <w:p>
      <w:pPr>
        <w:pStyle w:val="2"/>
        <w:numPr>
          <w:ilvl w:val="0"/>
          <w:numId w:val="3"/>
        </w:numPr>
        <w:rPr>
          <w:rFonts w:hint="eastAsia" w:ascii="仿宋" w:hAnsi="仿宋" w:eastAsia="仿宋"/>
          <w:color w:val="000000"/>
          <w:sz w:val="32"/>
          <w:szCs w:val="32"/>
        </w:rPr>
      </w:pP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变动：（</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lang w:val="en-US" w:eastAsia="zh-CN"/>
        </w:rPr>
        <w:t>增加855.24万元；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）非财政拨款</w:t>
      </w:r>
      <w:r>
        <w:rPr>
          <w:rFonts w:hint="eastAsia" w:ascii="仿宋" w:hAnsi="仿宋" w:eastAsia="仿宋"/>
          <w:color w:val="000000"/>
          <w:sz w:val="32"/>
          <w:szCs w:val="32"/>
          <w:lang w:val="en-US" w:eastAsia="zh-CN"/>
        </w:rPr>
        <w:t>239.28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pStyle w:val="2"/>
        <w:numPr>
          <w:ilvl w:val="0"/>
          <w:numId w:val="3"/>
        </w:numPr>
        <w:rPr>
          <w:rFonts w:hint="eastAsia" w:ascii="仿宋" w:hAnsi="仿宋" w:eastAsia="仿宋"/>
          <w:color w:val="000000"/>
          <w:sz w:val="32"/>
          <w:szCs w:val="32"/>
        </w:rPr>
      </w:pPr>
      <w:r>
        <w:rPr>
          <w:rFonts w:hint="eastAsia" w:ascii="仿宋" w:hAnsi="仿宋" w:eastAsia="仿宋"/>
          <w:color w:val="000000"/>
          <w:sz w:val="32"/>
          <w:szCs w:val="32"/>
          <w:lang w:eastAsia="zh-CN"/>
        </w:rPr>
        <w:t>结转结余变动：（</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）上年年末结转结余</w:t>
      </w:r>
      <w:r>
        <w:rPr>
          <w:rFonts w:hint="eastAsia" w:ascii="仿宋" w:hAnsi="仿宋" w:eastAsia="仿宋"/>
          <w:color w:val="000000"/>
          <w:sz w:val="32"/>
          <w:szCs w:val="32"/>
          <w:lang w:val="en-US" w:eastAsia="zh-CN"/>
        </w:rPr>
        <w:t>17.51万元；（2）</w:t>
      </w:r>
      <w:r>
        <w:rPr>
          <w:rFonts w:hint="eastAsia" w:ascii="仿宋" w:hAnsi="仿宋" w:eastAsia="仿宋"/>
          <w:color w:val="000000"/>
          <w:sz w:val="32"/>
          <w:szCs w:val="32"/>
          <w:lang w:eastAsia="zh-CN"/>
        </w:rPr>
        <w:t>本年年末结转结余</w:t>
      </w:r>
      <w:r>
        <w:rPr>
          <w:rFonts w:hint="eastAsia" w:ascii="仿宋" w:hAnsi="仿宋" w:eastAsia="仿宋"/>
          <w:color w:val="000000"/>
          <w:sz w:val="32"/>
          <w:szCs w:val="32"/>
          <w:lang w:val="en-US" w:eastAsia="zh-CN"/>
        </w:rPr>
        <w:t>1063.43万元。</w:t>
      </w:r>
    </w:p>
    <w:p>
      <w:pPr>
        <w:pStyle w:val="2"/>
        <w:numPr>
          <w:ilvl w:val="0"/>
          <w:numId w:val="0"/>
        </w:numPr>
        <w:rPr>
          <w:rFonts w:hint="eastAsia" w:ascii="仿宋" w:hAnsi="仿宋" w:eastAsia="仿宋"/>
          <w:color w:val="000000"/>
          <w:sz w:val="32"/>
          <w:szCs w:val="32"/>
        </w:rPr>
      </w:pPr>
    </w:p>
    <w:p>
      <w:pPr>
        <w:pStyle w:val="2"/>
        <w:rPr>
          <w:rFonts w:hint="eastAsia" w:ascii="仿宋" w:hAnsi="仿宋" w:eastAsia="仿宋"/>
          <w:color w:val="000000"/>
          <w:sz w:val="32"/>
          <w:szCs w:val="32"/>
        </w:rPr>
      </w:pPr>
      <w:r>
        <w:drawing>
          <wp:inline distT="0" distB="0" distL="114300" distR="114300">
            <wp:extent cx="3781425" cy="2657475"/>
            <wp:effectExtent l="4445" t="4445" r="5080" b="508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pStyle w:val="25"/>
        <w:numPr>
          <w:ilvl w:val="0"/>
          <w:numId w:val="2"/>
        </w:numPr>
        <w:spacing w:line="600" w:lineRule="exact"/>
        <w:ind w:firstLine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2771.11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1779.49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64.22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751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27.10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240.62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8.68</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rPr>
      </w:pPr>
    </w:p>
    <w:p>
      <w:pPr>
        <w:pStyle w:val="2"/>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p>
    <w:p>
      <w:pPr>
        <w:pStyle w:val="2"/>
        <w:jc w:val="center"/>
        <w:rPr>
          <w:rFonts w:hint="eastAsia" w:ascii="仿宋" w:hAnsi="仿宋" w:eastAsia="仿宋"/>
          <w:color w:val="000000" w:themeColor="text1"/>
          <w:sz w:val="32"/>
          <w:szCs w:val="32"/>
          <w14:textFill>
            <w14:solidFill>
              <w14:schemeClr w14:val="tx1"/>
            </w14:solidFill>
          </w14:textFill>
        </w:rPr>
      </w:pPr>
    </w:p>
    <w:p>
      <w:pPr>
        <w:pStyle w:val="2"/>
        <w:rPr>
          <w:rFonts w:hint="eastAsia" w:ascii="仿宋" w:hAnsi="仿宋" w:eastAsia="仿宋"/>
          <w:color w:val="000000" w:themeColor="text1"/>
          <w:sz w:val="32"/>
          <w:szCs w:val="32"/>
          <w14:textFill>
            <w14:solidFill>
              <w14:schemeClr w14:val="tx1"/>
            </w14:solidFill>
          </w14:textFill>
        </w:rPr>
      </w:pPr>
    </w:p>
    <w:p>
      <w:pPr>
        <w:spacing w:line="600" w:lineRule="exact"/>
        <w:ind w:firstLine="420" w:firstLineChars="200"/>
        <w:jc w:val="center"/>
      </w:pPr>
      <w:r>
        <w:drawing>
          <wp:anchor distT="0" distB="0" distL="114300" distR="114300" simplePos="0" relativeHeight="251659264" behindDoc="0" locked="0" layoutInCell="1" allowOverlap="1">
            <wp:simplePos x="0" y="0"/>
            <wp:positionH relativeFrom="column">
              <wp:posOffset>1502410</wp:posOffset>
            </wp:positionH>
            <wp:positionV relativeFrom="paragraph">
              <wp:posOffset>-2376805</wp:posOffset>
            </wp:positionV>
            <wp:extent cx="3258185" cy="2581910"/>
            <wp:effectExtent l="4445" t="4445" r="13970" b="2349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p>
    <w:p>
      <w:pPr>
        <w:pStyle w:val="2"/>
      </w:pPr>
    </w:p>
    <w:p>
      <w:pPr>
        <w:pStyle w:val="25"/>
        <w:numPr>
          <w:ilvl w:val="0"/>
          <w:numId w:val="2"/>
        </w:numPr>
        <w:spacing w:line="600" w:lineRule="exact"/>
        <w:ind w:firstLine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1748.72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1418.20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81.10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330.52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18.90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rPr>
      </w:pPr>
    </w:p>
    <w:p>
      <w:pPr>
        <w:pStyle w:val="2"/>
        <w:ind w:left="0" w:leftChars="0" w:firstLine="0" w:firstLineChars="0"/>
        <w:jc w:val="center"/>
      </w:pPr>
      <w:r>
        <w:drawing>
          <wp:inline distT="0" distB="0" distL="114300" distR="114300">
            <wp:extent cx="3382645" cy="2077085"/>
            <wp:effectExtent l="5080" t="4445" r="22225" b="1397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ind w:left="0" w:leftChars="0" w:firstLine="0" w:firstLineChars="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pStyle w:val="2"/>
        <w:numPr>
          <w:ilvl w:val="0"/>
          <w:numId w:val="0"/>
        </w:numPr>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2533.49</w:t>
      </w:r>
      <w:r>
        <w:rPr>
          <w:rFonts w:hint="eastAsia" w:ascii="仿宋" w:hAnsi="仿宋" w:eastAsia="仿宋"/>
          <w:color w:val="000000"/>
          <w:sz w:val="32"/>
          <w:szCs w:val="32"/>
        </w:rPr>
        <w:t>万元。与</w:t>
      </w:r>
      <w:r>
        <w:rPr>
          <w:rFonts w:hint="eastAsia" w:ascii="仿宋" w:hAnsi="仿宋" w:eastAsia="仿宋"/>
          <w:color w:val="000000"/>
          <w:sz w:val="32"/>
          <w:szCs w:val="32"/>
          <w:lang w:eastAsia="zh-CN"/>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955.45万元，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60.66</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5.38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0.33</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如下：</w:t>
      </w:r>
    </w:p>
    <w:p>
      <w:pPr>
        <w:pStyle w:val="2"/>
        <w:numPr>
          <w:ilvl w:val="0"/>
          <w:numId w:val="0"/>
        </w:numPr>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基本支出变动：（</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）人员增减变动导致工资福利及公用经费等相关支出</w:t>
      </w:r>
      <w:r>
        <w:rPr>
          <w:rFonts w:hint="eastAsia" w:ascii="仿宋" w:hAnsi="仿宋" w:eastAsia="仿宋"/>
          <w:color w:val="000000"/>
          <w:sz w:val="32"/>
          <w:szCs w:val="32"/>
        </w:rPr>
        <w:t>同步</w:t>
      </w:r>
      <w:r>
        <w:rPr>
          <w:rFonts w:hint="eastAsia" w:ascii="仿宋" w:hAnsi="仿宋" w:eastAsia="仿宋"/>
          <w:color w:val="000000"/>
          <w:sz w:val="32"/>
          <w:szCs w:val="32"/>
          <w:lang w:eastAsia="zh-CN"/>
        </w:rPr>
        <w:t>增减；（</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）本年调增了事业退休人员的生活补助标准、住房公积金的缴存基数、</w:t>
      </w:r>
      <w:r>
        <w:rPr>
          <w:rFonts w:hint="eastAsia" w:ascii="仿宋" w:hAnsi="仿宋" w:eastAsia="仿宋"/>
          <w:color w:val="000000"/>
          <w:sz w:val="32"/>
          <w:szCs w:val="32"/>
          <w:lang w:val="en-US" w:eastAsia="zh-CN"/>
        </w:rPr>
        <w:t>在职职工基本医疗保险费费率。</w:t>
      </w:r>
    </w:p>
    <w:p>
      <w:pPr>
        <w:pStyle w:val="2"/>
        <w:numPr>
          <w:ilvl w:val="0"/>
          <w:numId w:val="0"/>
        </w:num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变动：财政拨款</w:t>
      </w:r>
      <w:r>
        <w:rPr>
          <w:rFonts w:hint="eastAsia" w:ascii="仿宋" w:hAnsi="仿宋" w:eastAsia="仿宋"/>
          <w:color w:val="000000"/>
          <w:sz w:val="32"/>
          <w:szCs w:val="32"/>
          <w:lang w:val="en-US" w:eastAsia="zh-CN"/>
        </w:rPr>
        <w:t>增加855.24万元，其中一般公共预算财政拨款104.24万元，政府性基金预算财政拨款751万元；</w:t>
      </w:r>
    </w:p>
    <w:p>
      <w:pPr>
        <w:pStyle w:val="2"/>
        <w:numPr>
          <w:ilvl w:val="0"/>
          <w:numId w:val="0"/>
        </w:numPr>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结转结余变动：（</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）上年年末结转结余</w:t>
      </w:r>
      <w:r>
        <w:rPr>
          <w:rFonts w:hint="eastAsia" w:ascii="仿宋" w:hAnsi="仿宋" w:eastAsia="仿宋"/>
          <w:color w:val="000000"/>
          <w:sz w:val="32"/>
          <w:szCs w:val="32"/>
          <w:lang w:val="en-US" w:eastAsia="zh-CN"/>
        </w:rPr>
        <w:t>3万元；（2）</w:t>
      </w:r>
      <w:r>
        <w:rPr>
          <w:rFonts w:hint="eastAsia" w:ascii="仿宋" w:hAnsi="仿宋" w:eastAsia="仿宋"/>
          <w:color w:val="000000"/>
          <w:sz w:val="32"/>
          <w:szCs w:val="32"/>
          <w:lang w:eastAsia="zh-CN"/>
        </w:rPr>
        <w:t>本年年末结转结余</w:t>
      </w:r>
      <w:r>
        <w:rPr>
          <w:rFonts w:hint="eastAsia" w:ascii="仿宋" w:hAnsi="仿宋" w:eastAsia="仿宋"/>
          <w:color w:val="000000"/>
          <w:sz w:val="32"/>
          <w:szCs w:val="32"/>
          <w:lang w:val="en-US" w:eastAsia="zh-CN"/>
        </w:rPr>
        <w:t>916.68万元。</w:t>
      </w:r>
    </w:p>
    <w:p>
      <w:pPr>
        <w:pStyle w:val="2"/>
        <w:numPr>
          <w:ilvl w:val="0"/>
          <w:numId w:val="0"/>
        </w:numPr>
        <w:ind w:firstLine="640" w:firstLineChars="200"/>
        <w:rPr>
          <w:rFonts w:hint="eastAsia" w:ascii="仿宋" w:hAnsi="仿宋" w:eastAsia="仿宋"/>
          <w:color w:val="000000"/>
          <w:sz w:val="32"/>
          <w:szCs w:val="32"/>
          <w:lang w:eastAsia="zh-CN"/>
        </w:rPr>
      </w:pPr>
    </w:p>
    <w:p>
      <w:pPr>
        <w:pStyle w:val="2"/>
        <w:jc w:val="center"/>
        <w:rPr>
          <w:rFonts w:hint="eastAsia" w:ascii="仿宋" w:hAnsi="仿宋" w:eastAsia="仿宋"/>
          <w:color w:val="000000"/>
          <w:sz w:val="32"/>
          <w:szCs w:val="32"/>
        </w:rPr>
      </w:pPr>
      <w:r>
        <w:drawing>
          <wp:inline distT="0" distB="0" distL="114300" distR="114300">
            <wp:extent cx="3781425" cy="2657475"/>
            <wp:effectExtent l="4445" t="4445" r="5080" b="508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1616.81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92.46</w:t>
      </w:r>
      <w:r>
        <w:rPr>
          <w:rFonts w:ascii="仿宋" w:hAnsi="仿宋" w:eastAsia="仿宋"/>
          <w:color w:val="000000"/>
          <w:sz w:val="32"/>
          <w:szCs w:val="32"/>
        </w:rPr>
        <w:t>%</w:t>
      </w:r>
      <w:r>
        <w:rPr>
          <w:rFonts w:hint="eastAsia" w:ascii="仿宋" w:hAnsi="仿宋" w:eastAsia="仿宋"/>
          <w:color w:val="000000"/>
          <w:sz w:val="32"/>
          <w:szCs w:val="32"/>
        </w:rPr>
        <w:t>。与</w:t>
      </w:r>
      <w:r>
        <w:rPr>
          <w:rFonts w:hint="eastAsia" w:ascii="仿宋" w:hAnsi="仿宋" w:eastAsia="仿宋"/>
          <w:color w:val="000000"/>
          <w:sz w:val="32"/>
          <w:szCs w:val="32"/>
          <w:lang w:eastAsia="zh-CN"/>
        </w:rPr>
        <w:t>2019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5.38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0.33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基本支出变动：（1）</w:t>
      </w:r>
      <w:r>
        <w:rPr>
          <w:rFonts w:hint="eastAsia" w:ascii="仿宋_GB2312" w:hAnsi="仿宋" w:eastAsia="仿宋_GB2312"/>
          <w:sz w:val="32"/>
          <w:szCs w:val="32"/>
        </w:rPr>
        <w:t>本年度事业技术工人退休2人</w:t>
      </w:r>
      <w:r>
        <w:rPr>
          <w:rFonts w:hint="eastAsia" w:ascii="仿宋_GB2312" w:hAnsi="仿宋" w:eastAsia="仿宋_GB2312"/>
          <w:sz w:val="32"/>
          <w:szCs w:val="32"/>
          <w:lang w:eastAsia="zh-CN"/>
        </w:rPr>
        <w:t>，</w:t>
      </w:r>
      <w:r>
        <w:rPr>
          <w:rFonts w:hint="eastAsia" w:ascii="仿宋_GB2312" w:hAnsi="仿宋" w:eastAsia="仿宋_GB2312"/>
          <w:sz w:val="32"/>
          <w:szCs w:val="32"/>
        </w:rPr>
        <w:t>公招录用参公管理人员5名，调出2名；新聘专业技术人员9名，调出1名；行政退休人员减少2人，事业退休减少1人</w:t>
      </w:r>
      <w:r>
        <w:rPr>
          <w:rFonts w:hint="eastAsia" w:ascii="仿宋_GB2312" w:hAnsi="仿宋" w:eastAsia="仿宋_GB2312"/>
          <w:sz w:val="32"/>
          <w:szCs w:val="32"/>
          <w:lang w:eastAsia="zh-CN"/>
        </w:rPr>
        <w:t>；人员增减变动导致</w:t>
      </w:r>
      <w:r>
        <w:rPr>
          <w:rFonts w:hint="eastAsia" w:ascii="仿宋" w:hAnsi="仿宋" w:eastAsia="仿宋"/>
          <w:color w:val="000000"/>
          <w:sz w:val="32"/>
          <w:szCs w:val="32"/>
        </w:rPr>
        <w:t>工资福利</w:t>
      </w:r>
      <w:r>
        <w:rPr>
          <w:rFonts w:hint="eastAsia" w:ascii="仿宋" w:hAnsi="仿宋" w:eastAsia="仿宋"/>
          <w:color w:val="000000"/>
          <w:sz w:val="32"/>
          <w:szCs w:val="32"/>
          <w:lang w:eastAsia="zh-CN"/>
        </w:rPr>
        <w:t>、</w:t>
      </w:r>
      <w:r>
        <w:rPr>
          <w:rFonts w:hint="eastAsia" w:ascii="仿宋" w:hAnsi="仿宋" w:eastAsia="仿宋"/>
          <w:color w:val="000000"/>
          <w:sz w:val="32"/>
          <w:szCs w:val="32"/>
        </w:rPr>
        <w:t>公用经费等相关支出同步</w:t>
      </w:r>
      <w:r>
        <w:rPr>
          <w:rFonts w:hint="eastAsia" w:ascii="仿宋" w:hAnsi="仿宋" w:eastAsia="仿宋"/>
          <w:color w:val="000000"/>
          <w:sz w:val="32"/>
          <w:szCs w:val="32"/>
          <w:lang w:eastAsia="zh-CN"/>
        </w:rPr>
        <w:t>变动</w:t>
      </w:r>
      <w:r>
        <w:rPr>
          <w:rFonts w:hint="eastAsia" w:ascii="仿宋" w:hAnsi="仿宋" w:eastAsia="仿宋"/>
          <w:color w:val="000000"/>
          <w:sz w:val="32"/>
          <w:szCs w:val="32"/>
        </w:rPr>
        <w:t>；（2）本年调增了事业退休人员的生活补助标准；（3）调增了在职职工住房公积金的缴存基数；（4）我州生育保险和城镇职工基本医疗保险合并实施，调增了在职职工基本医疗保险费费率。</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、项目支出变动：</w:t>
      </w:r>
      <w:r>
        <w:rPr>
          <w:rFonts w:hint="eastAsia" w:ascii="仿宋" w:hAnsi="仿宋" w:eastAsia="仿宋"/>
          <w:color w:val="000000"/>
          <w:sz w:val="32"/>
          <w:szCs w:val="32"/>
          <w:lang w:eastAsia="zh-CN"/>
        </w:rPr>
        <w:t>新增</w:t>
      </w:r>
      <w:r>
        <w:rPr>
          <w:rFonts w:hint="eastAsia" w:ascii="仿宋" w:hAnsi="仿宋" w:eastAsia="仿宋"/>
          <w:color w:val="000000"/>
          <w:sz w:val="32"/>
          <w:szCs w:val="32"/>
        </w:rPr>
        <w:t>省级科技计划项目</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2.14</w:t>
      </w:r>
      <w:r>
        <w:rPr>
          <w:rFonts w:hint="eastAsia" w:ascii="仿宋" w:hAnsi="仿宋" w:eastAsia="仿宋"/>
          <w:color w:val="000000"/>
          <w:sz w:val="32"/>
          <w:szCs w:val="32"/>
        </w:rPr>
        <w:t>万元，2020年凉山州高层次人才安家补助等相关经费</w:t>
      </w:r>
      <w:r>
        <w:rPr>
          <w:rFonts w:hint="eastAsia" w:ascii="仿宋" w:hAnsi="仿宋" w:eastAsia="仿宋"/>
          <w:color w:val="000000"/>
          <w:sz w:val="32"/>
          <w:szCs w:val="32"/>
          <w:lang w:val="en-US" w:eastAsia="zh-CN"/>
        </w:rPr>
        <w:t>13.40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pStyle w:val="2"/>
        <w:rPr>
          <w:rFonts w:hint="eastAsia"/>
        </w:rPr>
      </w:pPr>
    </w:p>
    <w:p>
      <w:pPr>
        <w:pStyle w:val="2"/>
        <w:rPr>
          <w:rFonts w:hint="eastAsia"/>
        </w:rPr>
      </w:pPr>
    </w:p>
    <w:p>
      <w:pPr>
        <w:pStyle w:val="2"/>
        <w:rPr>
          <w:rFonts w:hint="eastAsia" w:ascii="仿宋" w:hAnsi="仿宋" w:eastAsia="仿宋"/>
          <w:color w:val="000000"/>
          <w:sz w:val="32"/>
          <w:szCs w:val="32"/>
        </w:rPr>
      </w:pPr>
      <w:r>
        <w:drawing>
          <wp:inline distT="0" distB="0" distL="114300" distR="114300">
            <wp:extent cx="3848735" cy="2496185"/>
            <wp:effectExtent l="4445" t="4445" r="13970" b="13970"/>
            <wp:docPr id="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3" w:firstLineChars="200"/>
        <w:outlineLvl w:val="2"/>
        <w:rPr>
          <w:rFonts w:hint="eastAsia" w:ascii="仿宋" w:hAnsi="仿宋" w:eastAsia="仿宋"/>
          <w:b/>
          <w:color w:val="000000"/>
          <w:sz w:val="32"/>
          <w:szCs w:val="32"/>
        </w:rPr>
      </w:pPr>
      <w:bookmarkStart w:id="35" w:name="_Toc15377211"/>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1616.81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1178.24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72.87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2.14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240.82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14.89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卫生健康</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111.23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6.88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84.38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pStyle w:val="2"/>
        <w:rPr>
          <w:rFonts w:hint="eastAsia"/>
        </w:rPr>
      </w:pPr>
    </w:p>
    <w:p>
      <w:pPr>
        <w:pStyle w:val="2"/>
        <w:rPr>
          <w:rFonts w:hint="eastAsia"/>
        </w:rPr>
      </w:pPr>
    </w:p>
    <w:p>
      <w:pPr>
        <w:pStyle w:val="2"/>
        <w:jc w:val="center"/>
      </w:pPr>
      <w:r>
        <w:drawing>
          <wp:inline distT="0" distB="0" distL="114300" distR="114300">
            <wp:extent cx="3696335" cy="2816225"/>
            <wp:effectExtent l="4445" t="5080" r="13970" b="1714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jc w:val="center"/>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numPr>
          <w:ilvl w:val="0"/>
          <w:numId w:val="0"/>
        </w:numPr>
        <w:spacing w:line="600" w:lineRule="exact"/>
        <w:ind w:firstLine="640" w:firstLineChars="200"/>
        <w:rPr>
          <w:rStyle w:val="15"/>
          <w:rFonts w:hint="eastAsia" w:ascii="仿宋" w:hAnsi="仿宋" w:eastAsia="仿宋"/>
          <w:b w:val="0"/>
          <w:bCs/>
          <w:color w:val="000000"/>
          <w:sz w:val="32"/>
          <w:szCs w:val="32"/>
        </w:rPr>
      </w:pPr>
      <w:bookmarkStart w:id="37" w:name="_Toc15378460"/>
      <w:bookmarkStart w:id="38" w:name="_Toc15377444"/>
      <w:bookmarkStart w:id="39" w:name="_Toc15377213"/>
      <w:r>
        <w:rPr>
          <w:rStyle w:val="15"/>
          <w:rFonts w:hint="eastAsia" w:ascii="仿宋" w:hAnsi="仿宋" w:eastAsia="仿宋"/>
          <w:b w:val="0"/>
          <w:bCs/>
          <w:color w:val="000000"/>
          <w:sz w:val="32"/>
          <w:szCs w:val="32"/>
          <w:lang w:eastAsia="zh-CN"/>
        </w:rPr>
        <w:t>2020</w:t>
      </w:r>
      <w:r>
        <w:rPr>
          <w:rStyle w:val="15"/>
          <w:rFonts w:hint="eastAsia" w:ascii="仿宋" w:hAnsi="仿宋" w:eastAsia="仿宋"/>
          <w:b w:val="0"/>
          <w:bCs/>
          <w:color w:val="000000"/>
          <w:sz w:val="32"/>
          <w:szCs w:val="32"/>
        </w:rPr>
        <w:t>年</w:t>
      </w:r>
      <w:r>
        <w:rPr>
          <w:rStyle w:val="15"/>
          <w:rFonts w:hint="eastAsia" w:ascii="仿宋" w:hAnsi="仿宋" w:eastAsia="仿宋"/>
          <w:b w:val="0"/>
          <w:bCs/>
          <w:color w:val="000000"/>
          <w:sz w:val="32"/>
          <w:szCs w:val="32"/>
          <w:lang w:eastAsia="zh-CN"/>
        </w:rPr>
        <w:t>一</w:t>
      </w:r>
      <w:r>
        <w:rPr>
          <w:rStyle w:val="15"/>
          <w:rFonts w:hint="eastAsia" w:ascii="仿宋" w:hAnsi="仿宋" w:eastAsia="仿宋"/>
          <w:b w:val="0"/>
          <w:bCs/>
          <w:color w:val="000000"/>
          <w:sz w:val="32"/>
          <w:szCs w:val="32"/>
        </w:rPr>
        <w:t>般公共预算支出决算数为</w:t>
      </w:r>
      <w:r>
        <w:rPr>
          <w:rStyle w:val="15"/>
          <w:rFonts w:hint="eastAsia" w:ascii="仿宋" w:hAnsi="仿宋" w:eastAsia="仿宋"/>
          <w:b w:val="0"/>
          <w:bCs/>
          <w:color w:val="000000"/>
          <w:sz w:val="32"/>
          <w:szCs w:val="32"/>
          <w:lang w:val="en-US" w:eastAsia="zh-CN"/>
        </w:rPr>
        <w:t>1616.81万元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90.71</w:t>
      </w:r>
      <w:r>
        <w:rPr>
          <w:rStyle w:val="15"/>
          <w:rFonts w:hint="eastAsia" w:ascii="仿宋" w:hAnsi="仿宋" w:eastAsia="仿宋"/>
          <w:b w:val="0"/>
          <w:bCs/>
          <w:color w:val="000000"/>
          <w:sz w:val="32"/>
          <w:szCs w:val="32"/>
        </w:rPr>
        <w:t>%。其中：</w:t>
      </w:r>
      <w:bookmarkEnd w:id="37"/>
      <w:bookmarkEnd w:id="38"/>
      <w:bookmarkEnd w:id="39"/>
    </w:p>
    <w:p>
      <w:pPr>
        <w:ind w:firstLine="643" w:firstLineChars="200"/>
        <w:rPr>
          <w:rFonts w:hint="eastAsia"/>
        </w:rPr>
      </w:pPr>
      <w:r>
        <w:rPr>
          <w:rStyle w:val="15"/>
          <w:rFonts w:hint="eastAsia" w:ascii="仿宋" w:hAnsi="仿宋" w:eastAsia="仿宋"/>
          <w:bCs/>
          <w:color w:val="000000"/>
          <w:sz w:val="32"/>
          <w:szCs w:val="32"/>
        </w:rPr>
        <w:t>教育</w:t>
      </w:r>
      <w:r>
        <w:rPr>
          <w:rStyle w:val="15"/>
          <w:rFonts w:hint="eastAsia" w:ascii="仿宋" w:hAnsi="仿宋" w:eastAsia="仿宋"/>
          <w:bCs/>
          <w:color w:val="000000"/>
          <w:sz w:val="32"/>
          <w:szCs w:val="32"/>
          <w:lang w:eastAsia="zh-CN"/>
        </w:rPr>
        <w:t>支出（干部教育</w:t>
      </w:r>
      <w:r>
        <w:rPr>
          <w:rStyle w:val="15"/>
          <w:rFonts w:hint="eastAsia" w:ascii="仿宋" w:hAnsi="仿宋" w:eastAsia="仿宋"/>
          <w:bCs/>
          <w:color w:val="000000"/>
          <w:sz w:val="32"/>
          <w:szCs w:val="32"/>
          <w:lang w:val="en-US" w:eastAsia="zh-CN"/>
        </w:rPr>
        <w:t>2050802</w:t>
      </w:r>
      <w:r>
        <w:rPr>
          <w:rStyle w:val="15"/>
          <w:rFonts w:hint="eastAsia" w:ascii="仿宋" w:hAnsi="仿宋" w:eastAsia="仿宋"/>
          <w:bCs/>
          <w:color w:val="000000"/>
          <w:sz w:val="32"/>
          <w:szCs w:val="32"/>
          <w:lang w:eastAsia="zh-CN"/>
        </w:rPr>
        <w:t>）</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1178.24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88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w:t>
      </w:r>
      <w:r>
        <w:rPr>
          <w:rFonts w:hint="eastAsia" w:ascii="仿宋" w:hAnsi="仿宋" w:eastAsia="仿宋"/>
          <w:sz w:val="32"/>
          <w:szCs w:val="32"/>
        </w:rPr>
        <w:t>2020年艾滋病防治</w:t>
      </w:r>
      <w:r>
        <w:rPr>
          <w:rFonts w:hint="eastAsia" w:ascii="仿宋" w:hAnsi="仿宋" w:eastAsia="仿宋"/>
          <w:sz w:val="32"/>
          <w:szCs w:val="32"/>
          <w:lang w:eastAsia="zh-CN"/>
        </w:rPr>
        <w:t>的</w:t>
      </w:r>
      <w:r>
        <w:rPr>
          <w:rFonts w:hint="eastAsia" w:ascii="仿宋" w:hAnsi="仿宋" w:eastAsia="仿宋"/>
          <w:sz w:val="32"/>
          <w:szCs w:val="32"/>
        </w:rPr>
        <w:t>相关课程待下年再行安排；高层次人才安家补助</w:t>
      </w:r>
      <w:r>
        <w:rPr>
          <w:rFonts w:hint="eastAsia" w:ascii="仿宋" w:hAnsi="仿宋" w:eastAsia="仿宋"/>
          <w:sz w:val="32"/>
          <w:szCs w:val="32"/>
          <w:lang w:eastAsia="zh-CN"/>
        </w:rPr>
        <w:t>的发放工作，按文件要求安排于次年发放；</w:t>
      </w:r>
      <w:r>
        <w:rPr>
          <w:rFonts w:hint="eastAsia" w:ascii="仿宋" w:hAnsi="仿宋" w:eastAsia="仿宋"/>
          <w:sz w:val="32"/>
          <w:szCs w:val="32"/>
        </w:rPr>
        <w:t>长征干部学院课程</w:t>
      </w:r>
      <w:r>
        <w:rPr>
          <w:rFonts w:hint="eastAsia" w:ascii="仿宋" w:hAnsi="仿宋" w:eastAsia="仿宋"/>
          <w:sz w:val="32"/>
          <w:szCs w:val="32"/>
          <w:lang w:eastAsia="zh-CN"/>
        </w:rPr>
        <w:t>打造工作正在进行</w:t>
      </w:r>
      <w:r>
        <w:rPr>
          <w:rFonts w:hint="eastAsia" w:ascii="仿宋" w:hAnsi="仿宋" w:eastAsia="仿宋"/>
          <w:sz w:val="32"/>
          <w:szCs w:val="32"/>
        </w:rPr>
        <w:t>，</w:t>
      </w:r>
      <w:r>
        <w:rPr>
          <w:rFonts w:hint="eastAsia" w:ascii="仿宋" w:hAnsi="仿宋" w:eastAsia="仿宋"/>
          <w:sz w:val="32"/>
          <w:szCs w:val="32"/>
          <w:lang w:eastAsia="zh-CN"/>
        </w:rPr>
        <w:t>相关经费尚未结算；</w:t>
      </w:r>
      <w:r>
        <w:rPr>
          <w:rFonts w:hint="eastAsia" w:ascii="仿宋" w:hAnsi="仿宋" w:eastAsia="仿宋"/>
          <w:sz w:val="32"/>
          <w:szCs w:val="32"/>
        </w:rPr>
        <w:t>政府采购专项经费（购置图书），</w:t>
      </w:r>
      <w:r>
        <w:rPr>
          <w:rFonts w:hint="eastAsia" w:ascii="仿宋" w:hAnsi="仿宋" w:eastAsia="仿宋"/>
          <w:sz w:val="32"/>
          <w:szCs w:val="32"/>
          <w:lang w:eastAsia="zh-CN"/>
        </w:rPr>
        <w:t>已进入</w:t>
      </w:r>
      <w:r>
        <w:rPr>
          <w:rFonts w:hint="eastAsia" w:ascii="仿宋" w:hAnsi="仿宋" w:eastAsia="仿宋"/>
          <w:sz w:val="32"/>
          <w:szCs w:val="32"/>
        </w:rPr>
        <w:t>政府采购</w:t>
      </w:r>
      <w:r>
        <w:rPr>
          <w:rFonts w:hint="eastAsia" w:ascii="仿宋" w:hAnsi="仿宋" w:eastAsia="仿宋"/>
          <w:sz w:val="32"/>
          <w:szCs w:val="32"/>
          <w:lang w:eastAsia="zh-CN"/>
        </w:rPr>
        <w:t>流程，尚未</w:t>
      </w:r>
      <w:r>
        <w:rPr>
          <w:rFonts w:hint="eastAsia" w:ascii="仿宋" w:hAnsi="仿宋" w:eastAsia="仿宋"/>
          <w:sz w:val="32"/>
          <w:szCs w:val="32"/>
        </w:rPr>
        <w:t>完成</w:t>
      </w:r>
      <w:r>
        <w:rPr>
          <w:rFonts w:hint="eastAsia" w:ascii="仿宋" w:hAnsi="仿宋" w:eastAsia="仿宋"/>
          <w:sz w:val="32"/>
          <w:szCs w:val="32"/>
          <w:lang w:eastAsia="zh-CN"/>
        </w:rPr>
        <w:t>；</w:t>
      </w:r>
      <w:r>
        <w:rPr>
          <w:rFonts w:hint="eastAsia" w:ascii="仿宋" w:hAnsi="仿宋" w:eastAsia="仿宋" w:cs="Times New Roman"/>
          <w:sz w:val="32"/>
          <w:szCs w:val="32"/>
        </w:rPr>
        <w:t>电教室设备购置专项经费于</w:t>
      </w:r>
      <w:r>
        <w:rPr>
          <w:rFonts w:hint="eastAsia" w:ascii="仿宋" w:hAnsi="仿宋" w:eastAsia="仿宋" w:cs="Times New Roman"/>
          <w:sz w:val="32"/>
          <w:szCs w:val="32"/>
          <w:lang w:eastAsia="zh-CN"/>
        </w:rPr>
        <w:t>当年</w:t>
      </w:r>
      <w:r>
        <w:rPr>
          <w:rFonts w:hint="eastAsia" w:ascii="仿宋" w:hAnsi="仿宋" w:eastAsia="仿宋" w:cs="Times New Roman"/>
          <w:sz w:val="32"/>
          <w:szCs w:val="32"/>
        </w:rPr>
        <w:t>申报了政府采购计划，按</w:t>
      </w:r>
      <w:r>
        <w:rPr>
          <w:rFonts w:hint="eastAsia" w:ascii="仿宋" w:hAnsi="仿宋" w:eastAsia="仿宋" w:cs="Times New Roman"/>
          <w:sz w:val="32"/>
          <w:szCs w:val="32"/>
          <w:lang w:eastAsia="zh-CN"/>
        </w:rPr>
        <w:t>相关</w:t>
      </w:r>
      <w:r>
        <w:rPr>
          <w:rFonts w:hint="eastAsia" w:ascii="仿宋" w:hAnsi="仿宋" w:eastAsia="仿宋" w:cs="Times New Roman"/>
          <w:sz w:val="32"/>
          <w:szCs w:val="32"/>
        </w:rPr>
        <w:t>文件要求</w:t>
      </w:r>
      <w:r>
        <w:rPr>
          <w:rFonts w:hint="eastAsia" w:ascii="仿宋" w:hAnsi="仿宋" w:eastAsia="仿宋" w:cs="Times New Roman"/>
          <w:sz w:val="32"/>
          <w:szCs w:val="32"/>
          <w:lang w:eastAsia="zh-CN"/>
        </w:rPr>
        <w:t>，需要执行新的目录和限额标准，因此州财政局</w:t>
      </w:r>
      <w:r>
        <w:rPr>
          <w:rFonts w:hint="eastAsia" w:ascii="仿宋" w:hAnsi="仿宋" w:eastAsia="仿宋" w:cs="Times New Roman"/>
          <w:sz w:val="32"/>
          <w:szCs w:val="32"/>
        </w:rPr>
        <w:t>暂停</w:t>
      </w:r>
      <w:r>
        <w:rPr>
          <w:rFonts w:hint="eastAsia" w:ascii="仿宋" w:hAnsi="仿宋" w:eastAsia="仿宋" w:cs="Times New Roman"/>
          <w:sz w:val="32"/>
          <w:szCs w:val="32"/>
          <w:lang w:eastAsia="zh-CN"/>
        </w:rPr>
        <w:t>了我单位的此项</w:t>
      </w:r>
      <w:r>
        <w:rPr>
          <w:rFonts w:hint="eastAsia" w:ascii="仿宋" w:hAnsi="仿宋" w:eastAsia="仿宋" w:cs="Times New Roman"/>
          <w:sz w:val="32"/>
          <w:szCs w:val="32"/>
        </w:rPr>
        <w:t>计划，资金结转下年继续使用</w:t>
      </w:r>
      <w:r>
        <w:rPr>
          <w:rFonts w:hint="eastAsia" w:ascii="仿宋" w:hAnsi="仿宋" w:eastAsia="仿宋" w:cs="Times New Roman"/>
          <w:sz w:val="32"/>
          <w:szCs w:val="32"/>
          <w:lang w:eastAsia="zh-CN"/>
        </w:rPr>
        <w:t>。</w:t>
      </w:r>
      <w:r>
        <w:rPr>
          <w:rStyle w:val="15"/>
          <w:rFonts w:hint="eastAsia" w:ascii="仿宋" w:hAnsi="仿宋" w:eastAsia="仿宋"/>
          <w:b w:val="0"/>
          <w:bCs/>
          <w:color w:val="000000"/>
          <w:sz w:val="32"/>
          <w:szCs w:val="32"/>
          <w:lang w:eastAsia="zh-CN"/>
        </w:rPr>
        <w:t>以上事项共计结转结余资金</w:t>
      </w:r>
      <w:r>
        <w:rPr>
          <w:rStyle w:val="15"/>
          <w:rFonts w:hint="eastAsia" w:ascii="仿宋" w:hAnsi="仿宋" w:eastAsia="仿宋"/>
          <w:b w:val="0"/>
          <w:bCs/>
          <w:color w:val="000000"/>
          <w:sz w:val="32"/>
          <w:szCs w:val="32"/>
          <w:lang w:val="en-US" w:eastAsia="zh-CN"/>
        </w:rPr>
        <w:t>160.71万元</w:t>
      </w:r>
      <w:r>
        <w:rPr>
          <w:rStyle w:val="15"/>
          <w:rFonts w:hint="eastAsia" w:ascii="仿宋" w:hAnsi="仿宋" w:eastAsia="仿宋"/>
          <w:b w:val="0"/>
          <w:bCs/>
          <w:color w:val="000000"/>
          <w:sz w:val="32"/>
          <w:szCs w:val="32"/>
        </w:rPr>
        <w:t>。</w:t>
      </w:r>
    </w:p>
    <w:p>
      <w:pPr>
        <w:pStyle w:val="2"/>
        <w:numPr>
          <w:ilvl w:val="0"/>
          <w:numId w:val="0"/>
        </w:numPr>
      </w:pPr>
    </w:p>
    <w:p>
      <w:pPr>
        <w:numPr>
          <w:ilvl w:val="0"/>
          <w:numId w:val="4"/>
        </w:num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科学技术</w:t>
      </w:r>
      <w:r>
        <w:rPr>
          <w:rStyle w:val="15"/>
          <w:rFonts w:hint="eastAsia" w:ascii="仿宋" w:hAnsi="仿宋" w:eastAsia="仿宋"/>
          <w:bCs/>
          <w:color w:val="000000"/>
          <w:sz w:val="32"/>
          <w:szCs w:val="32"/>
          <w:lang w:eastAsia="zh-CN"/>
        </w:rPr>
        <w:t>支出（其他科学技术支出</w:t>
      </w:r>
      <w:r>
        <w:rPr>
          <w:rStyle w:val="15"/>
          <w:rFonts w:hint="eastAsia" w:ascii="仿宋" w:hAnsi="仿宋" w:eastAsia="仿宋"/>
          <w:bCs/>
          <w:color w:val="000000"/>
          <w:sz w:val="32"/>
          <w:szCs w:val="32"/>
          <w:lang w:val="en-US" w:eastAsia="zh-CN"/>
        </w:rPr>
        <w:t>2069999</w:t>
      </w:r>
      <w:r>
        <w:rPr>
          <w:rStyle w:val="15"/>
          <w:rFonts w:hint="eastAsia" w:ascii="仿宋" w:hAnsi="仿宋" w:eastAsia="仿宋"/>
          <w:bCs/>
          <w:color w:val="000000"/>
          <w:sz w:val="32"/>
          <w:szCs w:val="32"/>
          <w:lang w:eastAsia="zh-CN"/>
        </w:rPr>
        <w:t>）</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2.14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42.80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省级科技项目课题尚未结项，结转下年继续使用</w:t>
      </w:r>
      <w:r>
        <w:rPr>
          <w:rStyle w:val="15"/>
          <w:rFonts w:hint="eastAsia" w:ascii="仿宋" w:hAnsi="仿宋" w:eastAsia="仿宋"/>
          <w:b w:val="0"/>
          <w:bCs/>
          <w:color w:val="000000"/>
          <w:sz w:val="32"/>
          <w:szCs w:val="32"/>
        </w:rPr>
        <w:t>。</w:t>
      </w:r>
    </w:p>
    <w:p>
      <w:pPr>
        <w:pStyle w:val="2"/>
        <w:numPr>
          <w:ilvl w:val="0"/>
          <w:numId w:val="0"/>
        </w:numPr>
        <w:rPr>
          <w:rFonts w:hint="eastAsia"/>
        </w:rPr>
      </w:pPr>
    </w:p>
    <w:p>
      <w:pPr>
        <w:spacing w:line="600" w:lineRule="exact"/>
        <w:ind w:firstLine="643" w:firstLineChars="200"/>
        <w:rPr>
          <w:rStyle w:val="15"/>
          <w:rFonts w:hint="eastAsia" w:ascii="仿宋" w:hAnsi="仿宋" w:eastAsia="仿宋"/>
          <w:b w:val="0"/>
          <w:bCs/>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eastAsia="zh-CN"/>
        </w:rPr>
        <w:t>支出（</w:t>
      </w:r>
      <w:r>
        <w:rPr>
          <w:rStyle w:val="15"/>
          <w:rFonts w:hint="eastAsia" w:ascii="仿宋" w:hAnsi="仿宋" w:eastAsia="仿宋"/>
          <w:bCs/>
          <w:color w:val="000000"/>
          <w:sz w:val="32"/>
          <w:szCs w:val="32"/>
          <w:lang w:val="en-US" w:eastAsia="zh-CN"/>
        </w:rPr>
        <w:t>208</w:t>
      </w:r>
      <w:r>
        <w:rPr>
          <w:rStyle w:val="15"/>
          <w:rFonts w:hint="eastAsia" w:ascii="仿宋" w:hAnsi="仿宋" w:eastAsia="仿宋"/>
          <w:bCs/>
          <w:color w:val="000000"/>
          <w:sz w:val="32"/>
          <w:szCs w:val="32"/>
          <w:lang w:eastAsia="zh-CN"/>
        </w:rPr>
        <w:t>）</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w:t>
      </w:r>
      <w:r>
        <w:rPr>
          <w:rStyle w:val="15"/>
          <w:rFonts w:hint="eastAsia" w:ascii="仿宋" w:hAnsi="仿宋" w:eastAsia="仿宋"/>
          <w:b w:val="0"/>
          <w:bCs/>
          <w:color w:val="000000"/>
          <w:sz w:val="32"/>
          <w:szCs w:val="32"/>
          <w:lang w:eastAsia="zh-CN"/>
        </w:rPr>
        <w:t>数</w:t>
      </w:r>
      <w:r>
        <w:rPr>
          <w:rStyle w:val="15"/>
          <w:rFonts w:hint="eastAsia" w:ascii="仿宋" w:hAnsi="仿宋" w:eastAsia="仿宋"/>
          <w:b w:val="0"/>
          <w:bCs/>
          <w:color w:val="000000"/>
          <w:sz w:val="32"/>
          <w:szCs w:val="32"/>
        </w:rPr>
        <w:t>为</w:t>
      </w:r>
      <w:r>
        <w:rPr>
          <w:rStyle w:val="15"/>
          <w:rFonts w:hint="eastAsia" w:ascii="仿宋" w:hAnsi="仿宋" w:eastAsia="仿宋"/>
          <w:b w:val="0"/>
          <w:bCs/>
          <w:color w:val="000000"/>
          <w:sz w:val="32"/>
          <w:szCs w:val="32"/>
          <w:lang w:val="en-US" w:eastAsia="zh-CN"/>
        </w:rPr>
        <w:t>240.82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相等</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eastAsia="zh-CN"/>
        </w:rPr>
        <w:t>其中行政单位离退休（</w:t>
      </w:r>
      <w:r>
        <w:rPr>
          <w:rStyle w:val="15"/>
          <w:rFonts w:hint="eastAsia" w:ascii="仿宋" w:hAnsi="仿宋" w:eastAsia="仿宋"/>
          <w:b w:val="0"/>
          <w:bCs/>
          <w:color w:val="000000"/>
          <w:sz w:val="32"/>
          <w:szCs w:val="32"/>
          <w:lang w:val="en-US" w:eastAsia="zh-CN"/>
        </w:rPr>
        <w:t>2080501</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82.18万元，</w:t>
      </w:r>
      <w:r>
        <w:rPr>
          <w:rStyle w:val="15"/>
          <w:rFonts w:hint="eastAsia" w:ascii="仿宋" w:hAnsi="仿宋" w:eastAsia="仿宋"/>
          <w:b w:val="0"/>
          <w:bCs/>
          <w:color w:val="000000"/>
          <w:sz w:val="32"/>
          <w:szCs w:val="32"/>
          <w:lang w:eastAsia="zh-CN"/>
        </w:rPr>
        <w:t>事业单位离退休（</w:t>
      </w:r>
      <w:r>
        <w:rPr>
          <w:rStyle w:val="15"/>
          <w:rFonts w:hint="eastAsia" w:ascii="仿宋" w:hAnsi="仿宋" w:eastAsia="仿宋"/>
          <w:b w:val="0"/>
          <w:bCs/>
          <w:color w:val="000000"/>
          <w:sz w:val="32"/>
          <w:szCs w:val="32"/>
          <w:lang w:val="en-US" w:eastAsia="zh-CN"/>
        </w:rPr>
        <w:t>2080502</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64.47万元，</w:t>
      </w:r>
      <w:r>
        <w:rPr>
          <w:rStyle w:val="15"/>
          <w:rFonts w:hint="eastAsia" w:ascii="仿宋" w:hAnsi="仿宋" w:eastAsia="仿宋"/>
          <w:b w:val="0"/>
          <w:bCs/>
          <w:color w:val="000000"/>
          <w:sz w:val="32"/>
          <w:szCs w:val="32"/>
          <w:lang w:eastAsia="zh-CN"/>
        </w:rPr>
        <w:t>机关事业单位基本养老保险缴费支出（</w:t>
      </w:r>
      <w:r>
        <w:rPr>
          <w:rStyle w:val="15"/>
          <w:rFonts w:hint="eastAsia" w:ascii="仿宋" w:hAnsi="仿宋" w:eastAsia="仿宋"/>
          <w:b w:val="0"/>
          <w:bCs/>
          <w:color w:val="000000"/>
          <w:sz w:val="32"/>
          <w:szCs w:val="32"/>
          <w:lang w:val="en-US" w:eastAsia="zh-CN"/>
        </w:rPr>
        <w:t>2080505</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83.70万元，</w:t>
      </w:r>
      <w:r>
        <w:rPr>
          <w:rStyle w:val="15"/>
          <w:rFonts w:hint="eastAsia" w:ascii="仿宋" w:hAnsi="仿宋" w:eastAsia="仿宋"/>
          <w:b w:val="0"/>
          <w:bCs/>
          <w:color w:val="000000"/>
          <w:sz w:val="32"/>
          <w:szCs w:val="32"/>
          <w:lang w:eastAsia="zh-CN"/>
        </w:rPr>
        <w:t>机关事业单位职业年金缴费支出（</w:t>
      </w:r>
      <w:r>
        <w:rPr>
          <w:rStyle w:val="15"/>
          <w:rFonts w:hint="eastAsia" w:ascii="仿宋" w:hAnsi="仿宋" w:eastAsia="仿宋"/>
          <w:b w:val="0"/>
          <w:bCs/>
          <w:color w:val="000000"/>
          <w:sz w:val="32"/>
          <w:szCs w:val="32"/>
          <w:lang w:val="en-US" w:eastAsia="zh-CN"/>
        </w:rPr>
        <w:t>2080506</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10.47万元。</w:t>
      </w:r>
    </w:p>
    <w:p>
      <w:pPr>
        <w:pStyle w:val="2"/>
      </w:pPr>
    </w:p>
    <w:p>
      <w:pPr>
        <w:adjustRightInd w:val="0"/>
        <w:snapToGrid w:val="0"/>
        <w:spacing w:line="560" w:lineRule="exact"/>
        <w:ind w:firstLine="72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4.</w:t>
      </w:r>
      <w:r>
        <w:rPr>
          <w:rStyle w:val="15"/>
          <w:rFonts w:hint="eastAsia" w:ascii="仿宋" w:hAnsi="仿宋" w:eastAsia="仿宋"/>
          <w:bCs/>
          <w:color w:val="000000"/>
          <w:sz w:val="32"/>
          <w:szCs w:val="32"/>
          <w:lang w:eastAsia="zh-CN"/>
        </w:rPr>
        <w:t>卫生健康支出</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210</w:t>
      </w:r>
      <w:r>
        <w:rPr>
          <w:rStyle w:val="15"/>
          <w:rFonts w:hint="eastAsia" w:ascii="仿宋" w:hAnsi="仿宋" w:eastAsia="仿宋"/>
          <w:bCs/>
          <w:color w:val="000000"/>
          <w:sz w:val="32"/>
          <w:szCs w:val="32"/>
        </w:rPr>
        <w:t>）</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111.23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98.14</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小于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的主要原因是</w:t>
      </w:r>
      <w:r>
        <w:rPr>
          <w:rStyle w:val="15"/>
          <w:rFonts w:hint="eastAsia" w:ascii="仿宋" w:hAnsi="仿宋" w:eastAsia="仿宋"/>
          <w:b w:val="0"/>
          <w:bCs/>
          <w:color w:val="000000"/>
          <w:sz w:val="32"/>
          <w:szCs w:val="32"/>
          <w:lang w:val="zh-CN" w:eastAsia="zh-CN"/>
        </w:rPr>
        <w:t>艾滋病防治教育宣传项目的工作本年尚未完成，州级补助资金</w:t>
      </w:r>
      <w:r>
        <w:rPr>
          <w:rStyle w:val="15"/>
          <w:rFonts w:hint="eastAsia" w:ascii="仿宋" w:hAnsi="仿宋" w:eastAsia="仿宋"/>
          <w:b w:val="0"/>
          <w:bCs/>
          <w:color w:val="000000"/>
          <w:sz w:val="32"/>
          <w:szCs w:val="32"/>
          <w:lang w:val="en-US" w:eastAsia="zh-CN"/>
        </w:rPr>
        <w:t>2.11万元</w:t>
      </w:r>
      <w:r>
        <w:rPr>
          <w:rStyle w:val="15"/>
          <w:rFonts w:hint="eastAsia" w:ascii="仿宋" w:hAnsi="仿宋" w:eastAsia="仿宋"/>
          <w:b w:val="0"/>
          <w:bCs/>
          <w:color w:val="000000"/>
          <w:sz w:val="32"/>
          <w:szCs w:val="32"/>
          <w:lang w:val="zh-CN" w:eastAsia="zh-CN"/>
        </w:rPr>
        <w:t>结转下年继续使用。</w:t>
      </w:r>
    </w:p>
    <w:p>
      <w:pPr>
        <w:numPr>
          <w:ilvl w:val="0"/>
          <w:numId w:val="0"/>
        </w:numPr>
        <w:adjustRightInd w:val="0"/>
        <w:snapToGrid w:val="0"/>
        <w:spacing w:line="56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eastAsia="zh-CN"/>
        </w:rPr>
        <w:t>卫生健康支出明细如下：重大公共卫生服务（</w:t>
      </w:r>
      <w:r>
        <w:rPr>
          <w:rStyle w:val="15"/>
          <w:rFonts w:hint="eastAsia" w:ascii="仿宋" w:hAnsi="仿宋" w:eastAsia="仿宋"/>
          <w:b w:val="0"/>
          <w:bCs/>
          <w:color w:val="000000"/>
          <w:sz w:val="32"/>
          <w:szCs w:val="32"/>
          <w:lang w:val="en-US" w:eastAsia="zh-CN"/>
        </w:rPr>
        <w:t>2100409</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3.89万元，</w:t>
      </w:r>
      <w:r>
        <w:rPr>
          <w:rStyle w:val="15"/>
          <w:rFonts w:hint="eastAsia" w:ascii="仿宋" w:hAnsi="仿宋" w:eastAsia="仿宋"/>
          <w:b w:val="0"/>
          <w:bCs/>
          <w:color w:val="000000"/>
          <w:sz w:val="32"/>
          <w:szCs w:val="32"/>
          <w:lang w:eastAsia="zh-CN"/>
        </w:rPr>
        <w:t>行政单位医疗（</w:t>
      </w:r>
      <w:r>
        <w:rPr>
          <w:rStyle w:val="15"/>
          <w:rFonts w:hint="eastAsia" w:ascii="仿宋" w:hAnsi="仿宋" w:eastAsia="仿宋"/>
          <w:b w:val="0"/>
          <w:bCs/>
          <w:color w:val="000000"/>
          <w:sz w:val="32"/>
          <w:szCs w:val="32"/>
          <w:lang w:val="en-US" w:eastAsia="zh-CN"/>
        </w:rPr>
        <w:t>2101101</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25.91万元，</w:t>
      </w:r>
      <w:r>
        <w:rPr>
          <w:rStyle w:val="15"/>
          <w:rFonts w:hint="eastAsia" w:ascii="仿宋" w:hAnsi="仿宋" w:eastAsia="仿宋"/>
          <w:b w:val="0"/>
          <w:bCs/>
          <w:color w:val="000000"/>
          <w:sz w:val="32"/>
          <w:szCs w:val="32"/>
          <w:lang w:eastAsia="zh-CN"/>
        </w:rPr>
        <w:t>事业单位医疗（</w:t>
      </w:r>
      <w:r>
        <w:rPr>
          <w:rStyle w:val="15"/>
          <w:rFonts w:hint="eastAsia" w:ascii="仿宋" w:hAnsi="仿宋" w:eastAsia="仿宋"/>
          <w:b w:val="0"/>
          <w:bCs/>
          <w:color w:val="000000"/>
          <w:sz w:val="32"/>
          <w:szCs w:val="32"/>
          <w:lang w:val="en-US" w:eastAsia="zh-CN"/>
        </w:rPr>
        <w:t>2101102</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32.29万元，</w:t>
      </w:r>
      <w:r>
        <w:rPr>
          <w:rStyle w:val="15"/>
          <w:rFonts w:hint="eastAsia" w:ascii="仿宋" w:hAnsi="仿宋" w:eastAsia="仿宋"/>
          <w:b w:val="0"/>
          <w:bCs/>
          <w:color w:val="000000"/>
          <w:sz w:val="32"/>
          <w:szCs w:val="32"/>
          <w:lang w:eastAsia="zh-CN"/>
        </w:rPr>
        <w:t>公务员医疗补助（</w:t>
      </w:r>
      <w:r>
        <w:rPr>
          <w:rStyle w:val="15"/>
          <w:rFonts w:hint="eastAsia" w:ascii="仿宋" w:hAnsi="仿宋" w:eastAsia="仿宋"/>
          <w:b w:val="0"/>
          <w:bCs/>
          <w:color w:val="000000"/>
          <w:sz w:val="32"/>
          <w:szCs w:val="32"/>
          <w:lang w:val="en-US" w:eastAsia="zh-CN"/>
        </w:rPr>
        <w:t>2101103</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15.96万元，</w:t>
      </w:r>
      <w:r>
        <w:rPr>
          <w:rStyle w:val="15"/>
          <w:rFonts w:hint="eastAsia" w:ascii="仿宋" w:hAnsi="仿宋" w:eastAsia="仿宋"/>
          <w:b w:val="0"/>
          <w:bCs/>
          <w:color w:val="000000"/>
          <w:sz w:val="32"/>
          <w:szCs w:val="32"/>
          <w:lang w:eastAsia="zh-CN"/>
        </w:rPr>
        <w:t>其他行政事业单位医疗支出（</w:t>
      </w:r>
      <w:r>
        <w:rPr>
          <w:rStyle w:val="15"/>
          <w:rFonts w:hint="eastAsia" w:ascii="仿宋" w:hAnsi="仿宋" w:eastAsia="仿宋"/>
          <w:b w:val="0"/>
          <w:bCs/>
          <w:color w:val="000000"/>
          <w:sz w:val="32"/>
          <w:szCs w:val="32"/>
          <w:lang w:val="en-US" w:eastAsia="zh-CN"/>
        </w:rPr>
        <w:t>2101199</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22.22万元，其他卫生健康支出（2109901）10.96万元。</w:t>
      </w:r>
    </w:p>
    <w:p>
      <w:pPr>
        <w:pStyle w:val="2"/>
      </w:pP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lang w:eastAsia="zh-CN"/>
        </w:rPr>
        <w:t>住房保障支出（</w:t>
      </w:r>
      <w:r>
        <w:rPr>
          <w:rStyle w:val="15"/>
          <w:rFonts w:hint="eastAsia" w:ascii="仿宋" w:hAnsi="仿宋" w:eastAsia="仿宋"/>
          <w:bCs/>
          <w:color w:val="000000"/>
          <w:sz w:val="32"/>
          <w:szCs w:val="32"/>
          <w:lang w:val="en-US" w:eastAsia="zh-CN"/>
        </w:rPr>
        <w:t>221</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lang w:val="en-US" w:eastAsia="zh-CN"/>
        </w:rPr>
        <w:t>支出决算为84.38万元，完成预算100%，决算数与预算数相等，均为住房公积金（2210201）84.38万元。</w:t>
      </w:r>
    </w:p>
    <w:p>
      <w:pPr>
        <w:tabs>
          <w:tab w:val="right" w:pos="8306"/>
        </w:tabs>
        <w:spacing w:line="600" w:lineRule="exact"/>
        <w:ind w:firstLine="640"/>
        <w:outlineLvl w:val="1"/>
        <w:rPr>
          <w:rFonts w:hint="eastAsia" w:ascii="黑体" w:eastAsia="黑体"/>
          <w:color w:val="000000"/>
          <w:sz w:val="32"/>
          <w:szCs w:val="32"/>
        </w:rPr>
      </w:pPr>
      <w:bookmarkStart w:id="40" w:name="_Toc15377214"/>
      <w:bookmarkStart w:id="41" w:name="_Toc15396608"/>
    </w:p>
    <w:p>
      <w:pPr>
        <w:tabs>
          <w:tab w:val="right" w:pos="8306"/>
        </w:tabs>
        <w:spacing w:line="600" w:lineRule="exact"/>
        <w:ind w:firstLine="640"/>
        <w:outlineLvl w:val="1"/>
        <w:rPr>
          <w:rStyle w:val="27"/>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1418.20</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1271.45</w:t>
      </w:r>
      <w:r>
        <w:rPr>
          <w:rFonts w:hint="eastAsia" w:ascii="仿宋" w:hAnsi="仿宋" w:eastAsia="仿宋"/>
          <w:color w:val="000000"/>
          <w:sz w:val="32"/>
          <w:szCs w:val="32"/>
        </w:rPr>
        <w:t>万元，主要</w:t>
      </w:r>
      <w:bookmarkStart w:id="75" w:name="_GoBack"/>
      <w:bookmarkEnd w:id="75"/>
      <w:r>
        <w:rPr>
          <w:rFonts w:hint="eastAsia" w:ascii="仿宋" w:hAnsi="仿宋" w:eastAsia="仿宋"/>
          <w:color w:val="000000"/>
          <w:sz w:val="32"/>
          <w:szCs w:val="32"/>
        </w:rPr>
        <w:t>包括：基本工资、津贴补贴、奖金、绩效工资、机关事业单位基本养老保险缴费、职业年金缴费、</w:t>
      </w:r>
      <w:r>
        <w:rPr>
          <w:rFonts w:hint="eastAsia" w:ascii="仿宋" w:hAnsi="仿宋" w:eastAsia="仿宋"/>
          <w:color w:val="000000"/>
          <w:sz w:val="32"/>
          <w:szCs w:val="32"/>
          <w:lang w:eastAsia="zh-CN"/>
        </w:rPr>
        <w:t>职工基本医疗保险缴费、公务员医疗补助缴费、其他</w:t>
      </w:r>
      <w:r>
        <w:rPr>
          <w:rFonts w:hint="eastAsia" w:ascii="仿宋" w:hAnsi="仿宋" w:eastAsia="仿宋"/>
          <w:color w:val="000000"/>
          <w:sz w:val="32"/>
          <w:szCs w:val="32"/>
        </w:rPr>
        <w:t>社会保障缴费、住房公积金、其他工资福利支出、抚恤金、生活补助、其他对个人和家庭的补助支出等。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146.75</w:t>
      </w:r>
      <w:r>
        <w:rPr>
          <w:rFonts w:hint="eastAsia" w:ascii="仿宋" w:hAnsi="仿宋" w:eastAsia="仿宋"/>
          <w:color w:val="000000"/>
          <w:sz w:val="32"/>
          <w:szCs w:val="32"/>
        </w:rPr>
        <w:t>万元，主要包括：办公费、水费、电费、邮电费、物业管理费、差旅费、维修（护）费、会议费、培训费、公务接待费、劳务费、工会经费、福利费、公务用车运行维护费、其他交通费、其他商品和服务支出等。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10.35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86.18</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，决算数小于预算数的主要原因是我单位厉行节约，严格执行八项规定和党风廉政建设相关制度，减少了公务接待支出</w:t>
      </w:r>
      <w:r>
        <w:rPr>
          <w:rFonts w:hint="eastAsia" w:ascii="仿宋_GB2312" w:eastAsia="仿宋_GB2312"/>
          <w:color w:val="000000"/>
          <w:sz w:val="32"/>
          <w:szCs w:val="32"/>
        </w:rPr>
        <w:t>。</w:t>
      </w:r>
    </w:p>
    <w:p>
      <w:pPr>
        <w:spacing w:line="600" w:lineRule="exact"/>
        <w:ind w:firstLine="640"/>
        <w:rPr>
          <w:rFonts w:ascii="仿宋" w:hAnsi="仿宋" w:eastAsia="仿宋"/>
          <w:b/>
          <w:color w:val="000000" w:themeColor="text1"/>
          <w:sz w:val="32"/>
          <w:szCs w:val="32"/>
          <w14:textFill>
            <w14:solidFill>
              <w14:schemeClr w14:val="tx1"/>
            </w14:solidFill>
          </w14:textFill>
        </w:rPr>
      </w:pP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万元；公务用车运行维护费支出决算</w:t>
      </w:r>
      <w:r>
        <w:rPr>
          <w:rFonts w:hint="eastAsia" w:ascii="仿宋" w:hAnsi="仿宋" w:eastAsia="仿宋"/>
          <w:color w:val="000000"/>
          <w:sz w:val="32"/>
          <w:szCs w:val="32"/>
          <w:lang w:val="en-US" w:eastAsia="zh-CN"/>
        </w:rPr>
        <w:t>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93.72</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0.65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6.28</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jc w:val="left"/>
        <w:rPr>
          <w:rFonts w:hint="eastAsia" w:ascii="仿宋" w:hAnsi="仿宋" w:eastAsia="仿宋"/>
          <w:color w:val="000000"/>
          <w:sz w:val="28"/>
          <w:szCs w:val="28"/>
        </w:rPr>
      </w:pPr>
      <w:r>
        <w:drawing>
          <wp:inline distT="0" distB="0" distL="114300" distR="114300">
            <wp:extent cx="2830195" cy="2038985"/>
            <wp:effectExtent l="4445" t="4445" r="22860" b="1397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ascii="仿宋" w:hAnsi="仿宋" w:eastAsia="仿宋"/>
          <w:color w:val="000000"/>
          <w:sz w:val="28"/>
          <w:szCs w:val="28"/>
        </w:rPr>
        <w:t>（图8：“三公”经费财政拨款支出结构）</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lang w:eastAsia="zh-CN"/>
        </w:rPr>
        <w:t>我单位无</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9.70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0.30</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厉行节约，压减支出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color w:val="000000"/>
          <w:sz w:val="32"/>
          <w:szCs w:val="32"/>
          <w:lang w:eastAsia="zh-CN"/>
        </w:rPr>
        <w:t>我单位无</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月31日，单位共有公务用车1辆，其中：越野车1辆。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9.70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教职工</w:t>
      </w:r>
      <w:r>
        <w:rPr>
          <w:rFonts w:hint="eastAsia" w:ascii="仿宋_GB2312" w:eastAsia="仿宋_GB2312"/>
          <w:color w:val="000000"/>
          <w:sz w:val="32"/>
          <w:szCs w:val="32"/>
        </w:rPr>
        <w:t>赴</w:t>
      </w:r>
      <w:r>
        <w:rPr>
          <w:rFonts w:hint="eastAsia" w:ascii="仿宋_GB2312" w:eastAsia="仿宋_GB2312"/>
          <w:color w:val="000000"/>
          <w:sz w:val="32"/>
          <w:szCs w:val="32"/>
          <w:lang w:eastAsia="zh-CN"/>
        </w:rPr>
        <w:t>外地公务交流、培训、</w:t>
      </w:r>
      <w:r>
        <w:rPr>
          <w:rFonts w:hint="eastAsia" w:ascii="仿宋_GB2312" w:eastAsia="仿宋_GB2312"/>
          <w:color w:val="000000"/>
          <w:sz w:val="32"/>
          <w:szCs w:val="32"/>
        </w:rPr>
        <w:t>调研、</w:t>
      </w:r>
      <w:r>
        <w:rPr>
          <w:rFonts w:hint="eastAsia" w:ascii="仿宋_GB2312" w:eastAsia="仿宋_GB2312"/>
          <w:color w:val="000000"/>
          <w:sz w:val="32"/>
          <w:szCs w:val="32"/>
          <w:lang w:eastAsia="zh-CN"/>
        </w:rPr>
        <w:t>宣讲、精准</w:t>
      </w:r>
      <w:r>
        <w:rPr>
          <w:rFonts w:hint="eastAsia" w:ascii="仿宋_GB2312" w:eastAsia="仿宋_GB2312"/>
          <w:color w:val="000000"/>
          <w:sz w:val="32"/>
          <w:szCs w:val="32"/>
        </w:rPr>
        <w:t>扶贫等工作所需的公务用车燃料费、维修费、过路过桥费、保险费等支出。</w:t>
      </w:r>
    </w:p>
    <w:p>
      <w:pPr>
        <w:numPr>
          <w:ilvl w:val="0"/>
          <w:numId w:val="0"/>
        </w:num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0.65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28.14%</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0.12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15.58</w:t>
      </w:r>
      <w:r>
        <w:rPr>
          <w:rFonts w:ascii="仿宋_GB2312" w:eastAsia="仿宋_GB2312"/>
          <w:color w:val="000000"/>
          <w:sz w:val="32"/>
          <w:szCs w:val="32"/>
        </w:rPr>
        <w:t>%</w:t>
      </w:r>
      <w:r>
        <w:rPr>
          <w:rFonts w:hint="eastAsia" w:ascii="仿宋_GB2312" w:eastAsia="仿宋_GB2312"/>
          <w:color w:val="000000"/>
          <w:sz w:val="32"/>
          <w:szCs w:val="32"/>
        </w:rPr>
        <w:t>。主要原因是我单位严格执行八项规定和党风廉政建设相关制度，减少公务接待。</w:t>
      </w:r>
    </w:p>
    <w:p>
      <w:pPr>
        <w:numPr>
          <w:ilvl w:val="0"/>
          <w:numId w:val="0"/>
        </w:num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公务接待</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68</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0.65</w:t>
      </w:r>
      <w:r>
        <w:rPr>
          <w:rFonts w:hint="eastAsia" w:ascii="仿宋_GB2312" w:eastAsia="仿宋_GB2312"/>
          <w:color w:val="000000"/>
          <w:sz w:val="32"/>
          <w:szCs w:val="32"/>
        </w:rPr>
        <w:t>万元，具体内容包括：</w:t>
      </w:r>
      <w:bookmarkStart w:id="46" w:name="_Toc15377218"/>
      <w:bookmarkStart w:id="47" w:name="_Toc15396610"/>
      <w:r>
        <w:rPr>
          <w:rFonts w:hint="eastAsia" w:ascii="仿宋_GB2312" w:eastAsia="仿宋_GB2312"/>
          <w:color w:val="000000"/>
          <w:sz w:val="32"/>
          <w:szCs w:val="32"/>
        </w:rPr>
        <w:t>接待四川省委党校调研组</w:t>
      </w:r>
      <w:r>
        <w:rPr>
          <w:rFonts w:hint="eastAsia" w:ascii="仿宋_GB2312" w:eastAsia="仿宋_GB2312"/>
          <w:color w:val="000000"/>
          <w:sz w:val="32"/>
          <w:szCs w:val="32"/>
          <w:lang w:val="en-US" w:eastAsia="zh-CN"/>
        </w:rPr>
        <w:t>5932</w:t>
      </w:r>
      <w:r>
        <w:rPr>
          <w:rFonts w:hint="eastAsia" w:ascii="仿宋_GB2312" w:eastAsia="仿宋_GB2312"/>
          <w:color w:val="000000"/>
          <w:sz w:val="32"/>
          <w:szCs w:val="32"/>
        </w:rPr>
        <w:t>元；接待</w:t>
      </w:r>
      <w:r>
        <w:rPr>
          <w:rFonts w:hint="eastAsia" w:ascii="仿宋_GB2312" w:eastAsia="仿宋_GB2312"/>
          <w:color w:val="000000"/>
          <w:sz w:val="32"/>
          <w:szCs w:val="32"/>
          <w:lang w:eastAsia="zh-CN"/>
        </w:rPr>
        <w:t>会理</w:t>
      </w:r>
      <w:r>
        <w:rPr>
          <w:rFonts w:hint="eastAsia" w:ascii="仿宋_GB2312" w:eastAsia="仿宋_GB2312"/>
          <w:color w:val="000000"/>
          <w:sz w:val="32"/>
          <w:szCs w:val="32"/>
        </w:rPr>
        <w:t>党校</w:t>
      </w:r>
      <w:r>
        <w:rPr>
          <w:rFonts w:hint="eastAsia" w:ascii="仿宋_GB2312" w:eastAsia="仿宋_GB2312"/>
          <w:color w:val="000000"/>
          <w:sz w:val="32"/>
          <w:szCs w:val="32"/>
          <w:lang w:eastAsia="zh-CN"/>
        </w:rPr>
        <w:t>教研组</w:t>
      </w:r>
      <w:r>
        <w:rPr>
          <w:rFonts w:hint="eastAsia" w:ascii="仿宋_GB2312" w:eastAsia="仿宋_GB2312"/>
          <w:color w:val="000000"/>
          <w:sz w:val="32"/>
          <w:szCs w:val="32"/>
          <w:lang w:val="en-US" w:eastAsia="zh-CN"/>
        </w:rPr>
        <w:t>580</w:t>
      </w:r>
      <w:r>
        <w:rPr>
          <w:rFonts w:hint="eastAsia" w:ascii="仿宋_GB2312" w:eastAsia="仿宋_GB2312"/>
          <w:color w:val="000000"/>
          <w:sz w:val="32"/>
          <w:szCs w:val="32"/>
        </w:rPr>
        <w:t>元。公务接待费全部通过公务卡消费进行报账还款。其中：</w:t>
      </w:r>
    </w:p>
    <w:p>
      <w:pPr>
        <w:numPr>
          <w:ilvl w:val="0"/>
          <w:numId w:val="0"/>
        </w:numPr>
        <w:spacing w:line="600" w:lineRule="exact"/>
        <w:ind w:firstLine="643" w:firstLineChars="200"/>
        <w:rPr>
          <w:rFonts w:hint="eastAsia" w:ascii="仿宋_GB2312" w:eastAsia="仿宋_GB2312"/>
          <w:color w:val="000000"/>
          <w:sz w:val="32"/>
          <w:szCs w:val="32"/>
          <w:lang w:val="en-US"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p>
    <w:p>
      <w:pPr>
        <w:numPr>
          <w:ilvl w:val="0"/>
          <w:numId w:val="0"/>
        </w:num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 w:hAnsi="仿宋" w:eastAsia="仿宋"/>
          <w:color w:val="000000"/>
          <w:sz w:val="32"/>
          <w:szCs w:val="32"/>
          <w:lang w:val="en-US" w:eastAsia="zh-CN"/>
        </w:rPr>
        <w:t>65</w:t>
      </w:r>
      <w:r>
        <w:rPr>
          <w:rFonts w:hint="eastAsia" w:ascii="仿宋_GB2312" w:eastAsia="仿宋_GB2312"/>
          <w:color w:val="000000"/>
          <w:sz w:val="32"/>
          <w:szCs w:val="32"/>
        </w:rPr>
        <w:t>万元，主要用于</w:t>
      </w:r>
      <w:r>
        <w:rPr>
          <w:rFonts w:hint="eastAsia" w:ascii="仿宋" w:hAnsi="仿宋" w:eastAsia="仿宋" w:cs="仿宋"/>
          <w:color w:val="000000"/>
          <w:sz w:val="32"/>
          <w:szCs w:val="32"/>
        </w:rPr>
        <w:t>接待</w:t>
      </w:r>
      <w:r>
        <w:rPr>
          <w:rFonts w:hint="eastAsia" w:ascii="仿宋" w:hAnsi="仿宋" w:eastAsia="仿宋" w:cs="仿宋"/>
          <w:color w:val="000000"/>
          <w:sz w:val="32"/>
          <w:szCs w:val="32"/>
          <w:lang w:eastAsia="zh-CN"/>
        </w:rPr>
        <w:t>四川</w:t>
      </w:r>
      <w:r>
        <w:rPr>
          <w:rFonts w:hint="eastAsia" w:ascii="仿宋" w:hAnsi="仿宋" w:eastAsia="仿宋" w:cs="仿宋"/>
          <w:color w:val="000000"/>
          <w:sz w:val="32"/>
          <w:szCs w:val="32"/>
        </w:rPr>
        <w:t>省委党校、</w:t>
      </w:r>
      <w:r>
        <w:rPr>
          <w:rFonts w:hint="eastAsia" w:ascii="仿宋" w:hAnsi="仿宋" w:eastAsia="仿宋" w:cs="仿宋"/>
          <w:color w:val="000000"/>
          <w:sz w:val="32"/>
          <w:szCs w:val="32"/>
          <w:lang w:eastAsia="zh-CN"/>
        </w:rPr>
        <w:t>县级</w:t>
      </w:r>
      <w:r>
        <w:rPr>
          <w:rFonts w:hint="eastAsia" w:ascii="仿宋" w:hAnsi="仿宋" w:eastAsia="仿宋" w:cs="仿宋"/>
          <w:color w:val="000000"/>
          <w:sz w:val="32"/>
          <w:szCs w:val="32"/>
        </w:rPr>
        <w:t>党校等对口单位进行公务活动的人员。</w:t>
      </w:r>
    </w:p>
    <w:p>
      <w:pPr>
        <w:pStyle w:val="2"/>
        <w:rPr>
          <w:rFonts w:hint="eastAsia"/>
        </w:rPr>
      </w:pPr>
    </w:p>
    <w:p>
      <w:pPr>
        <w:pStyle w:val="2"/>
      </w:pPr>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napToGrid w:val="0"/>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w:t>
      </w:r>
      <w:r>
        <w:rPr>
          <w:rFonts w:hint="eastAsia" w:ascii="仿宋_GB2312" w:hAnsi="仿宋" w:eastAsia="仿宋_GB2312"/>
          <w:sz w:val="32"/>
          <w:szCs w:val="32"/>
        </w:rPr>
        <w:t>据川财行[2020]130号、凉财行[2020]86号下达2020年四川长征干部学院建设专项经费751万元</w:t>
      </w:r>
      <w:r>
        <w:rPr>
          <w:rFonts w:hint="eastAsia" w:ascii="仿宋_GB2312" w:hAnsi="仿宋" w:eastAsia="仿宋_GB2312"/>
          <w:sz w:val="32"/>
          <w:szCs w:val="32"/>
          <w:lang w:eastAsia="zh-CN"/>
        </w:rPr>
        <w:t>，因是年末下达，未调整为政府采购标志，故结转下年使用。</w:t>
      </w:r>
      <w:r>
        <w:rPr>
          <w:rFonts w:hint="eastAsia" w:ascii="仿宋_GB2312" w:hAnsi="仿宋" w:eastAsia="仿宋_GB2312"/>
          <w:sz w:val="32"/>
          <w:szCs w:val="32"/>
          <w:lang w:val="en-US" w:eastAsia="zh-CN"/>
        </w:rPr>
        <w:t>2020年，</w:t>
      </w:r>
      <w:r>
        <w:rPr>
          <w:rFonts w:hint="eastAsia" w:ascii="仿宋_GB2312" w:eastAsia="仿宋_GB2312"/>
          <w:color w:val="000000"/>
          <w:sz w:val="32"/>
          <w:szCs w:val="32"/>
          <w:lang w:eastAsia="zh-CN"/>
        </w:rPr>
        <w:t>我单位无</w:t>
      </w:r>
      <w:r>
        <w:rPr>
          <w:rFonts w:hint="eastAsia" w:ascii="仿宋_GB2312" w:eastAsia="仿宋_GB2312"/>
          <w:color w:val="000000"/>
          <w:sz w:val="32"/>
          <w:szCs w:val="32"/>
        </w:rPr>
        <w:t>政府性基金预算拨款支出。</w:t>
      </w:r>
    </w:p>
    <w:p>
      <w:pPr>
        <w:pStyle w:val="2"/>
      </w:pPr>
    </w:p>
    <w:p>
      <w:pPr>
        <w:numPr>
          <w:ilvl w:val="0"/>
          <w:numId w:val="5"/>
        </w:numPr>
        <w:spacing w:line="60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，我单位无</w:t>
      </w:r>
      <w:r>
        <w:rPr>
          <w:rFonts w:hint="eastAsia" w:ascii="仿宋_GB2312" w:eastAsia="仿宋_GB2312"/>
          <w:color w:val="000000"/>
          <w:sz w:val="32"/>
          <w:szCs w:val="32"/>
        </w:rPr>
        <w:t>国有资本经营预算拨款支出。</w:t>
      </w:r>
    </w:p>
    <w:p>
      <w:pPr>
        <w:pStyle w:val="2"/>
      </w:pPr>
    </w:p>
    <w:p>
      <w:pPr>
        <w:pStyle w:val="25"/>
        <w:numPr>
          <w:ilvl w:val="0"/>
          <w:numId w:val="6"/>
        </w:numPr>
        <w:spacing w:line="580" w:lineRule="exact"/>
        <w:ind w:firstLineChars="0"/>
        <w:rPr>
          <w:rStyle w:val="27"/>
          <w:rFonts w:ascii="黑体" w:hAnsi="黑体" w:eastAsia="黑体"/>
          <w:b w:val="0"/>
        </w:rPr>
      </w:pPr>
      <w:r>
        <w:rPr>
          <w:rStyle w:val="27"/>
          <w:rFonts w:hint="eastAsia" w:ascii="黑体" w:hAnsi="黑体" w:eastAsia="黑体"/>
          <w:b w:val="0"/>
        </w:rPr>
        <w:t>预算绩效情况说明</w:t>
      </w:r>
    </w:p>
    <w:p>
      <w:pPr>
        <w:numPr>
          <w:ilvl w:val="0"/>
          <w:numId w:val="7"/>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val="en-US" w:eastAsia="zh-CN"/>
        </w:rPr>
        <w:t>6个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年部门整体支出开展</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绩效自评。</w:t>
      </w:r>
    </w:p>
    <w:p>
      <w:pPr>
        <w:spacing w:line="580" w:lineRule="exact"/>
        <w:ind w:firstLine="640" w:firstLineChars="200"/>
      </w:pPr>
      <w:r>
        <w:rPr>
          <w:rFonts w:hint="eastAsia" w:ascii="仿宋_GB2312" w:hAnsi="仿宋" w:eastAsia="仿宋_GB2312"/>
          <w:sz w:val="32"/>
          <w:szCs w:val="32"/>
        </w:rPr>
        <w:t>2020年，我校坚持以习近平总书记关于党校办学治校系列重要指示精神为指导，牢牢把握党校姓党根本原则，以贯彻落实《中国共产党党校（行政学院）工作条例》为契机，以县级党校分类建设、联合共建四川长征干部学院为抓手，充分发挥干部培训、思想引领、理论建设、决策咨询作用，不断提升党校办学质量水平，为培养造就忠诚干净担当的高素质专业化干部队伍、推动凉山脱贫奔康转型发展作出积极贡献。全年共举办各级各类轮训培训班31期，轮训培训干部2604人次，其中主体班8期，轮训培训干部540人次，其他各类专题培训班18期，轮训培训干部1862人次；统筹承办县级党校主体班5期，培训干部202人次。</w:t>
      </w:r>
    </w:p>
    <w:p>
      <w:pPr>
        <w:spacing w:line="58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门还自行组织了</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个项目绩效评价，从评价情况来看，</w:t>
      </w:r>
      <w:r>
        <w:rPr>
          <w:rFonts w:hint="eastAsia" w:ascii="仿宋" w:hAnsi="仿宋" w:eastAsia="仿宋"/>
          <w:sz w:val="32"/>
          <w:szCs w:val="32"/>
        </w:rPr>
        <w:t>本年项目绩效目标完成较好，干部教育和培训工作稳步进行，教学、科研、精准扶贫、日常运转均按计划进行。</w:t>
      </w:r>
    </w:p>
    <w:p>
      <w:pPr>
        <w:pStyle w:val="2"/>
      </w:pPr>
    </w:p>
    <w:p>
      <w:pPr>
        <w:numPr>
          <w:ilvl w:val="0"/>
          <w:numId w:val="7"/>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了“艾</w:t>
      </w:r>
      <w:r>
        <w:rPr>
          <w:rFonts w:hint="eastAsia" w:ascii="仿宋_GB2312" w:hAnsi="仿宋_GB2312" w:eastAsia="仿宋_GB2312" w:cs="仿宋_GB2312"/>
          <w:sz w:val="32"/>
          <w:szCs w:val="32"/>
        </w:rPr>
        <w:t>滋病防治项目州级补助资金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省级科技计划项目经费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弘扬长征精神党性教育培训经费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科研课题及教师培训经费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弥补干部教育培训保障经费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干部教育和培训保障经费</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6个</w:t>
      </w:r>
      <w:r>
        <w:rPr>
          <w:rFonts w:hint="eastAsia" w:ascii="仿宋_GB2312" w:hAnsi="仿宋_GB2312" w:eastAsia="仿宋_GB2312" w:cs="仿宋_GB2312"/>
          <w:sz w:val="32"/>
          <w:szCs w:val="32"/>
        </w:rPr>
        <w:t>项目绩效目标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实际完成情况。</w:t>
      </w:r>
    </w:p>
    <w:p>
      <w:pPr>
        <w:pStyle w:val="2"/>
      </w:pPr>
    </w:p>
    <w:p>
      <w:pPr>
        <w:numPr>
          <w:ilvl w:val="0"/>
          <w:numId w:val="0"/>
        </w:numPr>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1、“艾滋病防治项目州级补助资金”</w:t>
      </w:r>
      <w:r>
        <w:rPr>
          <w:rFonts w:hint="eastAsia" w:ascii="仿宋_GB2312" w:hAnsi="仿宋_GB2312" w:eastAsia="仿宋_GB2312" w:cs="仿宋_GB2312"/>
          <w:sz w:val="32"/>
          <w:szCs w:val="32"/>
        </w:rPr>
        <w:t>绩效目标完成情况综述</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项目全年预算数6万元，执行数为3.89万元，完成预算的64.83%，结转下年2.11万元。通过“艾滋病防治项目州级补助资金”项目的实施，开展了</w:t>
      </w:r>
      <w:r>
        <w:rPr>
          <w:rFonts w:hint="eastAsia" w:ascii="仿宋_GB2312" w:hAnsi="仿宋_GB2312" w:eastAsia="仿宋_GB2312" w:cs="仿宋_GB2312"/>
          <w:sz w:val="32"/>
          <w:szCs w:val="32"/>
        </w:rPr>
        <w:t>县级班、初任公务员培训班、凉山州卫生健康管理与公共卫生事件处置专题培训班、国有企业高层次经营管理者专题培训班等班次的</w:t>
      </w:r>
      <w:r>
        <w:rPr>
          <w:rFonts w:hint="eastAsia" w:ascii="仿宋_GB2312" w:hAnsi="仿宋_GB2312" w:eastAsia="仿宋_GB2312" w:cs="仿宋_GB2312"/>
          <w:sz w:val="32"/>
          <w:szCs w:val="32"/>
          <w:lang w:val="zh-CN"/>
        </w:rPr>
        <w:t>艾滋病防治知识及政策培训，提高了各级干部对艾滋病防治知识的知晓率。</w:t>
      </w:r>
      <w:r>
        <w:rPr>
          <w:rFonts w:hint="eastAsia" w:ascii="仿宋_GB2312" w:hAnsi="仿宋_GB2312" w:eastAsia="仿宋_GB2312" w:cs="仿宋_GB2312"/>
          <w:sz w:val="32"/>
          <w:szCs w:val="32"/>
        </w:rPr>
        <w:t>项目全年预算数6万元，执行数为3.89万元，完成预算的64.83%，结转下年2.11万元。</w:t>
      </w:r>
    </w:p>
    <w:p>
      <w:pPr>
        <w:pStyle w:val="2"/>
        <w:rPr>
          <w:rFonts w:hint="eastAsia"/>
        </w:rPr>
      </w:pPr>
    </w:p>
    <w:p>
      <w:pPr>
        <w:numPr>
          <w:ilvl w:val="0"/>
          <w:numId w:val="8"/>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省级科技计划项目经费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绩效目标完成情况综述</w:t>
      </w:r>
    </w:p>
    <w:p>
      <w:pPr>
        <w:numPr>
          <w:ilvl w:val="0"/>
          <w:numId w:val="0"/>
        </w:numPr>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eastAsia="zh-CN"/>
        </w:rPr>
        <w:t>项目全年预算数</w:t>
      </w:r>
      <w:r>
        <w:rPr>
          <w:rFonts w:hint="eastAsia" w:ascii="仿宋_GB2312" w:hAnsi="仿宋_GB2312" w:eastAsia="仿宋_GB2312" w:cs="仿宋_GB2312"/>
          <w:sz w:val="32"/>
          <w:szCs w:val="32"/>
          <w:lang w:val="en-US" w:eastAsia="zh-CN"/>
        </w:rPr>
        <w:t>5万元，执行数2.14万元，完成预算42.80%。此项目经费为</w:t>
      </w:r>
      <w:r>
        <w:rPr>
          <w:rFonts w:hint="eastAsia" w:ascii="仿宋_GB2312" w:hAnsi="仿宋_GB2312" w:eastAsia="仿宋_GB2312" w:cs="仿宋_GB2312"/>
          <w:sz w:val="32"/>
          <w:szCs w:val="32"/>
        </w:rPr>
        <w:t>省级科技计划《协商民主在四川凉山彝区乡村治理中的制度化实践创新研究》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课题经费，共计5万元</w:t>
      </w:r>
      <w:r>
        <w:rPr>
          <w:rFonts w:hint="eastAsia" w:ascii="仿宋_GB2312" w:hAnsi="仿宋_GB2312" w:eastAsia="仿宋_GB2312" w:cs="仿宋_GB2312"/>
          <w:sz w:val="32"/>
          <w:szCs w:val="32"/>
          <w:lang w:eastAsia="zh-CN"/>
        </w:rPr>
        <w:t>，为跨年度项目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本年支出租车费0.99万元，会议费0.16万元，资料费0.21万元，调研差旅费0.78万元，小计2.14万元；因课题未结项，所以结转下年2.86万元，预计2021年10月完成。</w:t>
      </w:r>
    </w:p>
    <w:p>
      <w:pPr>
        <w:pStyle w:val="2"/>
        <w:rPr>
          <w:rFonts w:hint="eastAsia"/>
          <w:lang w:val="zh-CN"/>
        </w:rPr>
      </w:pPr>
    </w:p>
    <w:p>
      <w:pPr>
        <w:numPr>
          <w:ilvl w:val="0"/>
          <w:numId w:val="8"/>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“弘扬长征精神党性教育培训经费”</w:t>
      </w:r>
      <w:r>
        <w:rPr>
          <w:rFonts w:hint="eastAsia" w:ascii="仿宋_GB2312" w:hAnsi="仿宋_GB2312" w:eastAsia="仿宋_GB2312" w:cs="仿宋_GB2312"/>
          <w:sz w:val="32"/>
          <w:szCs w:val="32"/>
        </w:rPr>
        <w:t>绩效目标完成情况综述</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项目全年预算数</w:t>
      </w:r>
      <w:r>
        <w:rPr>
          <w:rFonts w:hint="eastAsia" w:ascii="仿宋_GB2312" w:hAnsi="仿宋_GB2312" w:eastAsia="仿宋_GB2312" w:cs="仿宋_GB2312"/>
          <w:sz w:val="32"/>
          <w:szCs w:val="32"/>
          <w:lang w:val="en-US" w:eastAsia="zh-CN"/>
        </w:rPr>
        <w:t>200万元，</w:t>
      </w:r>
      <w:r>
        <w:rPr>
          <w:rFonts w:hint="eastAsia" w:ascii="仿宋_GB2312" w:hAnsi="仿宋_GB2312" w:eastAsia="仿宋_GB2312" w:cs="仿宋_GB2312"/>
          <w:sz w:val="32"/>
          <w:szCs w:val="32"/>
        </w:rPr>
        <w:t>2020年6月</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四川省委组织部拨入</w:t>
      </w:r>
      <w:r>
        <w:rPr>
          <w:rFonts w:hint="eastAsia" w:ascii="仿宋_GB2312" w:hAnsi="仿宋_GB2312" w:eastAsia="仿宋_GB2312" w:cs="仿宋_GB2312"/>
          <w:sz w:val="32"/>
          <w:szCs w:val="32"/>
          <w:lang w:eastAsia="zh-CN"/>
        </w:rPr>
        <w:t>。年末</w:t>
      </w:r>
      <w:r>
        <w:rPr>
          <w:rFonts w:hint="eastAsia" w:ascii="仿宋_GB2312" w:hAnsi="仿宋_GB2312" w:eastAsia="仿宋_GB2312" w:cs="仿宋_GB2312"/>
          <w:sz w:val="32"/>
          <w:szCs w:val="32"/>
          <w:lang w:val="en-US" w:eastAsia="zh-CN"/>
        </w:rPr>
        <w:t>执行数为59.06万元，完成预算29.53%；</w:t>
      </w:r>
      <w:r>
        <w:rPr>
          <w:rFonts w:hint="eastAsia" w:ascii="仿宋_GB2312" w:hAnsi="仿宋_GB2312" w:eastAsia="仿宋_GB2312" w:cs="仿宋_GB2312"/>
          <w:sz w:val="32"/>
          <w:szCs w:val="32"/>
          <w:lang w:eastAsia="zh-CN"/>
        </w:rPr>
        <w:t>结余</w:t>
      </w:r>
      <w:r>
        <w:rPr>
          <w:rFonts w:hint="eastAsia" w:ascii="仿宋_GB2312" w:hAnsi="仿宋_GB2312" w:eastAsia="仿宋_GB2312" w:cs="仿宋_GB2312"/>
          <w:sz w:val="32"/>
          <w:szCs w:val="32"/>
        </w:rPr>
        <w:t>140.94万元，于下一年度继续使用。</w:t>
      </w:r>
      <w:r>
        <w:rPr>
          <w:rFonts w:hint="eastAsia" w:ascii="仿宋_GB2312" w:hAnsi="仿宋_GB2312" w:eastAsia="仿宋_GB2312" w:cs="仿宋_GB2312"/>
          <w:sz w:val="32"/>
          <w:szCs w:val="32"/>
          <w:lang w:val="zh-CN"/>
        </w:rPr>
        <w:t>通过</w:t>
      </w:r>
      <w:r>
        <w:rPr>
          <w:rFonts w:hint="eastAsia" w:ascii="仿宋_GB2312" w:hAnsi="仿宋_GB2312" w:eastAsia="仿宋_GB2312" w:cs="仿宋_GB2312"/>
          <w:sz w:val="32"/>
          <w:szCs w:val="32"/>
        </w:rPr>
        <w:t>“弘扬长征精神党性教育培训”</w:t>
      </w:r>
      <w:r>
        <w:rPr>
          <w:rFonts w:hint="eastAsia" w:ascii="仿宋_GB2312" w:hAnsi="仿宋_GB2312" w:eastAsia="仿宋_GB2312" w:cs="仿宋_GB2312"/>
          <w:sz w:val="32"/>
          <w:szCs w:val="32"/>
          <w:lang w:eastAsia="zh-CN"/>
        </w:rPr>
        <w:t>项目的实施，</w:t>
      </w:r>
      <w:r>
        <w:rPr>
          <w:rFonts w:hint="eastAsia" w:ascii="仿宋_GB2312" w:hAnsi="仿宋_GB2312" w:eastAsia="仿宋_GB2312" w:cs="仿宋_GB2312"/>
          <w:sz w:val="32"/>
          <w:szCs w:val="32"/>
          <w:lang w:val="zh-CN"/>
        </w:rPr>
        <w:t>举办的</w:t>
      </w:r>
      <w:r>
        <w:rPr>
          <w:rFonts w:hint="eastAsia" w:ascii="仿宋_GB2312" w:hAnsi="仿宋_GB2312" w:eastAsia="仿宋_GB2312" w:cs="仿宋_GB2312"/>
          <w:sz w:val="32"/>
          <w:szCs w:val="32"/>
        </w:rPr>
        <w:t>班次有：全州易地扶贫搬迁集中安置点治理工作专题培训班；全州新成立乡村党组织书记重点培训班；全州非公经济组织和社会组织党建引领城乡基层治理工作示范培训班；全州党校系统师资培训班；长征干部学院彝海结盟分院示范班及模拟班；全州农村党员骨干重点培训班，参训人员500余人次。通过培训，教育和引导广大党员干部发扬革命传统、传承红色基因，党员干部坚定了理想信念、加强了党性修养，为推动治蜀兴川再上新台阶提供了强大精神动力。</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年末结转140.94万元，于下一年度继续使用（其中党性教育培训教材购置经费60万元，已经进入政府采购流程，预计采购图书10000余册）。</w:t>
      </w:r>
    </w:p>
    <w:p>
      <w:pPr>
        <w:pStyle w:val="2"/>
        <w:rPr>
          <w:rFonts w:hint="eastAsia"/>
          <w:lang w:val="zh-CN"/>
        </w:rPr>
      </w:pPr>
    </w:p>
    <w:p>
      <w:pPr>
        <w:numPr>
          <w:ilvl w:val="0"/>
          <w:numId w:val="0"/>
        </w:numPr>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4、“科研课题及教师培训经费”</w:t>
      </w:r>
      <w:r>
        <w:rPr>
          <w:rFonts w:hint="eastAsia" w:ascii="仿宋_GB2312" w:hAnsi="仿宋_GB2312" w:eastAsia="仿宋_GB2312" w:cs="仿宋_GB2312"/>
          <w:sz w:val="32"/>
          <w:szCs w:val="32"/>
        </w:rPr>
        <w:t>项目绩效目标完成情况综述</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项目全年</w:t>
      </w:r>
      <w:r>
        <w:rPr>
          <w:rFonts w:hint="eastAsia" w:ascii="仿宋_GB2312" w:hAnsi="仿宋_GB2312" w:eastAsia="仿宋_GB2312" w:cs="仿宋_GB2312"/>
          <w:sz w:val="32"/>
          <w:szCs w:val="32"/>
          <w:lang w:eastAsia="zh-CN"/>
        </w:rPr>
        <w:t>预算数</w:t>
      </w:r>
      <w:r>
        <w:rPr>
          <w:rFonts w:hint="eastAsia" w:ascii="仿宋_GB2312" w:hAnsi="仿宋_GB2312" w:eastAsia="仿宋_GB2312" w:cs="仿宋_GB2312"/>
          <w:sz w:val="32"/>
          <w:szCs w:val="32"/>
          <w:lang w:val="en-US" w:eastAsia="zh-CN"/>
        </w:rPr>
        <w:t>35万元，</w:t>
      </w:r>
      <w:r>
        <w:rPr>
          <w:rFonts w:hint="eastAsia" w:ascii="仿宋_GB2312" w:hAnsi="仿宋_GB2312" w:eastAsia="仿宋_GB2312" w:cs="仿宋_GB2312"/>
          <w:sz w:val="32"/>
          <w:szCs w:val="32"/>
        </w:rPr>
        <w:t>执行数为35万元，完成预算的100%。通过项目的实施，我单位专业技术教师聚焦党委政府中心工作、重大决策部署、社会热点难点问题开展深入研究，申报各类课题20项，立项15项，其中省级课题1项，地厅级课题11项，《凉山彝区狠抓基层党建助推脱贫攻坚的探索与实践》获2020年度重大课题市州项目一等奖，《可行能力视角下凉山彝区贫困代际传递机制研究》立项10个重大研究项目市州项目之一，与省委党校合作的2项科研成果在省委办公厅《每日要情》刊载。积极参加学术研讨和理论征文活动，发表学术论文34篇，提交论文14篇，其中3篇入选“从脱贫攻坚到全面建成小康社会的四川之路”研讨会论文集，1篇入选“成渝地区双城经济圈建设的理论与实践研究”理论研讨会。</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出版季刊《凉山党校》4期，聘请四川省委党校郭伟教授及储连伟教授指导长征干部学院课程“红军长征过凉山”的打造工作，调研长征干部学院办学情况，高质量推进四川长征干部学院凉山彝海结盟分院建设。</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搭建平台强化内力，举办全州党校系统青年教师教学竞赛，从课件质量、授课技巧、授课内容、教姿教态等方面有效提升授课质量，遴选17名青年教师进入师资库；选派教师50余人次到中国延安干部学院、省委党校等地学习，增加知识储备，提升教学能力；举办全州党校系统师资培训班，共培训教师71名；3名青年教师入选凉山州第十批学术和技术带头人后备人选。</w:t>
      </w:r>
    </w:p>
    <w:p>
      <w:pPr>
        <w:numPr>
          <w:ilvl w:val="0"/>
          <w:numId w:val="0"/>
        </w:numPr>
        <w:spacing w:line="580" w:lineRule="exact"/>
        <w:ind w:left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“弥补干部教育培训保障经费”</w:t>
      </w:r>
      <w:r>
        <w:rPr>
          <w:rFonts w:hint="eastAsia" w:ascii="仿宋_GB2312" w:hAnsi="仿宋_GB2312" w:eastAsia="仿宋_GB2312" w:cs="仿宋_GB2312"/>
          <w:sz w:val="32"/>
          <w:szCs w:val="32"/>
        </w:rPr>
        <w:t>项目绩效目标完成情况综述</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项目批复金额133.22万元。来源为我单位的非税收入。调整后的预算数为168.99万元，</w:t>
      </w:r>
      <w:r>
        <w:rPr>
          <w:rFonts w:hint="eastAsia" w:ascii="仿宋_GB2312" w:hAnsi="仿宋_GB2312" w:eastAsia="仿宋_GB2312" w:cs="仿宋_GB2312"/>
          <w:sz w:val="32"/>
          <w:szCs w:val="32"/>
          <w:lang w:val="zh-CN"/>
        </w:rPr>
        <w:t>全年执行数152.91万元，</w:t>
      </w:r>
      <w:r>
        <w:rPr>
          <w:rFonts w:hint="eastAsia" w:ascii="仿宋_GB2312" w:hAnsi="仿宋_GB2312" w:eastAsia="仿宋_GB2312" w:cs="仿宋_GB2312"/>
          <w:sz w:val="32"/>
          <w:szCs w:val="32"/>
          <w:lang w:eastAsia="zh-CN"/>
        </w:rPr>
        <w:t>完成预算</w:t>
      </w:r>
      <w:r>
        <w:rPr>
          <w:rFonts w:hint="eastAsia" w:ascii="仿宋_GB2312" w:hAnsi="仿宋_GB2312" w:eastAsia="仿宋_GB2312" w:cs="仿宋_GB2312"/>
          <w:sz w:val="32"/>
          <w:szCs w:val="32"/>
        </w:rPr>
        <w:t>90%，节约资金10.81万元（财政已收回），结转政府采购资金16.08万元。</w:t>
      </w:r>
      <w:r>
        <w:rPr>
          <w:rFonts w:hint="eastAsia" w:ascii="仿宋_GB2312" w:hAnsi="仿宋_GB2312" w:eastAsia="仿宋_GB2312" w:cs="仿宋_GB2312"/>
          <w:sz w:val="32"/>
          <w:szCs w:val="32"/>
          <w:lang w:val="en-US" w:eastAsia="zh-CN"/>
        </w:rPr>
        <w:t xml:space="preserve">  </w:t>
      </w:r>
    </w:p>
    <w:p>
      <w:pPr>
        <w:numPr>
          <w:ilvl w:val="0"/>
          <w:numId w:val="0"/>
        </w:numPr>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通过项目的实施，我单位行政后勤管理服务能力不断提升。政务工作更加规范，公文处理、档案管理、保密管理、财务管理等各项工作高效运转；老干部工作成效显著，1人被评为省级离退休干部先进个人；信息化建设更加完善，制定智慧校园建设规划，圆满完成22场拟任县处级领导干部任职资格政治理论水平考试；资产管理更加严格，通过</w:t>
      </w:r>
      <w:r>
        <w:rPr>
          <w:rFonts w:hint="eastAsia" w:ascii="仿宋_GB2312" w:hAnsi="仿宋_GB2312" w:eastAsia="仿宋_GB2312" w:cs="仿宋_GB2312"/>
          <w:sz w:val="32"/>
          <w:szCs w:val="32"/>
        </w:rPr>
        <w:t>政府采购，购置二教室家具（礼堂椅105张，书写板96张，会议椅6把，会议条桌3张）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电子设备（笔记本电脑4台，数码相机1台，路由器1台）</w:t>
      </w:r>
      <w:r>
        <w:rPr>
          <w:rFonts w:hint="eastAsia" w:ascii="仿宋_GB2312" w:hAnsi="仿宋_GB2312" w:eastAsia="仿宋_GB2312" w:cs="仿宋_GB2312"/>
          <w:sz w:val="32"/>
          <w:szCs w:val="32"/>
          <w:lang w:eastAsia="zh-CN"/>
        </w:rPr>
        <w:t>；通过分散采购，购置</w:t>
      </w:r>
      <w:r>
        <w:rPr>
          <w:rFonts w:hint="eastAsia" w:ascii="仿宋_GB2312" w:hAnsi="仿宋_GB2312" w:eastAsia="仿宋_GB2312" w:cs="仿宋_GB2312"/>
          <w:sz w:val="32"/>
          <w:szCs w:val="32"/>
        </w:rPr>
        <w:t>《四川年鉴》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长征干部学院教学设备音箱讲解器</w:t>
      </w:r>
      <w:r>
        <w:rPr>
          <w:rFonts w:hint="eastAsia" w:ascii="仿宋_GB2312" w:hAnsi="仿宋_GB2312" w:eastAsia="仿宋_GB2312" w:cs="仿宋_GB2312"/>
          <w:sz w:val="32"/>
          <w:szCs w:val="32"/>
          <w:lang w:eastAsia="zh-CN"/>
        </w:rPr>
        <w:t>等固定资产；后勤保障更加有力，</w:t>
      </w:r>
      <w:r>
        <w:rPr>
          <w:rFonts w:hint="eastAsia" w:ascii="仿宋_GB2312" w:hAnsi="仿宋_GB2312" w:eastAsia="仿宋_GB2312" w:cs="仿宋_GB2312"/>
          <w:sz w:val="32"/>
          <w:szCs w:val="32"/>
          <w:lang w:val="zh-CN"/>
        </w:rPr>
        <w:t>全年投入40余万进行教室改造、设备维修、环境整治，顺利通过第五届省级精神文明单位复查验收；作为首批试点积极开展节约型机关创建，抓实抓细疫情防控、森林草原防灭火等工作，营造平安和谐校园环境。</w:t>
      </w:r>
    </w:p>
    <w:p>
      <w:pPr>
        <w:pStyle w:val="2"/>
        <w:rPr>
          <w:rFonts w:hint="eastAsia"/>
        </w:rPr>
      </w:pP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干部教育和培训保障经费</w:t>
      </w:r>
      <w:r>
        <w:rPr>
          <w:rFonts w:hint="eastAsia" w:ascii="仿宋_GB2312" w:hAnsi="仿宋_GB2312" w:eastAsia="仿宋_GB2312" w:cs="仿宋_GB2312"/>
          <w:sz w:val="32"/>
          <w:szCs w:val="32"/>
        </w:rPr>
        <w:t>项目绩效目标完成情况综述。</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项目全年</w:t>
      </w:r>
      <w:r>
        <w:rPr>
          <w:rFonts w:hint="eastAsia" w:ascii="仿宋_GB2312" w:hAnsi="仿宋_GB2312" w:eastAsia="仿宋_GB2312" w:cs="仿宋_GB2312"/>
          <w:sz w:val="32"/>
          <w:szCs w:val="32"/>
          <w:lang w:eastAsia="zh-CN"/>
        </w:rPr>
        <w:t>预算数</w:t>
      </w:r>
      <w:r>
        <w:rPr>
          <w:rFonts w:hint="eastAsia" w:ascii="仿宋_GB2312" w:hAnsi="仿宋_GB2312" w:eastAsia="仿宋_GB2312" w:cs="仿宋_GB2312"/>
          <w:sz w:val="32"/>
          <w:szCs w:val="32"/>
          <w:lang w:val="en-US" w:eastAsia="zh-CN"/>
        </w:rPr>
        <w:t>101.31万元，</w:t>
      </w:r>
      <w:r>
        <w:rPr>
          <w:rFonts w:hint="eastAsia" w:ascii="仿宋_GB2312" w:hAnsi="仿宋_GB2312" w:eastAsia="仿宋_GB2312" w:cs="仿宋_GB2312"/>
          <w:sz w:val="32"/>
          <w:szCs w:val="32"/>
        </w:rPr>
        <w:t>执行数为77.11万元，完成预算的76.1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%，剩余24.20万元结转下年使用。（结转下年的资金为政府采购图书专项经费，已经备案并报送给政府采购中心，进入了政府采购流程）。</w:t>
      </w:r>
    </w:p>
    <w:p>
      <w:pPr>
        <w:numPr>
          <w:ilvl w:val="0"/>
          <w:numId w:val="0"/>
        </w:numPr>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全年共举办各级各类轮训培训班31期，轮训培训干部2604人次，其中主体班8期，轮训培训干部540人次，其他各类专题培训班18期，轮训培训干部1862人次；统筹承办县级党校主体班5期，培训干部202人次。</w:t>
      </w:r>
      <w:r>
        <w:rPr>
          <w:rFonts w:hint="eastAsia" w:ascii="仿宋_GB2312" w:hAnsi="仿宋_GB2312" w:eastAsia="仿宋_GB2312" w:cs="仿宋_GB2312"/>
          <w:sz w:val="32"/>
          <w:szCs w:val="32"/>
          <w:lang w:val="zh-CN"/>
        </w:rPr>
        <w:t>抓好在职研究生教育，克服疫情防控压力，圆满完成凉山考点1000余名考生考试工作，录取法学专业新生84名。</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确保了我校各项工作顺利开展，我校坚持以习近平总书记关于党校办学治校系列重要指示精神为指导，牢牢把握党校姓党根本原则，以贯彻落实《中国共产党党校（行政学院）工作条例》为契机，以县级党校分类建设、联合共建四川长征干部学院为抓手，充分发挥干部培训、思想引领、理论建设、决策咨询作用，不断提升党校办学质量水平，为培养造就忠诚干净担当的高素质专业化干部队伍、推动凉山脱贫奔康转型发展作出积极贡献。</w:t>
      </w:r>
    </w:p>
    <w:p>
      <w:pPr>
        <w:pStyle w:val="2"/>
        <w:rPr>
          <w:rFonts w:hint="eastAsia"/>
        </w:rPr>
      </w:pPr>
    </w:p>
    <w:p>
      <w:pPr>
        <w:pStyle w:val="2"/>
        <w:rPr>
          <w:rFonts w:hint="eastAsia"/>
        </w:rPr>
      </w:pPr>
    </w:p>
    <w:p>
      <w:pPr>
        <w:pStyle w:val="2"/>
        <w:rPr>
          <w:rFonts w:hint="eastAsia"/>
        </w:rPr>
      </w:pPr>
    </w:p>
    <w:tbl>
      <w:tblPr>
        <w:tblStyle w:val="13"/>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9"/>
        <w:gridCol w:w="1079"/>
        <w:gridCol w:w="1379"/>
        <w:gridCol w:w="819"/>
        <w:gridCol w:w="819"/>
        <w:gridCol w:w="2258"/>
        <w:gridCol w:w="2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1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黑体" w:cs="方正小标宋简体"/>
                <w:i w:val="0"/>
                <w:iCs w:val="0"/>
                <w:color w:val="000000"/>
                <w:sz w:val="32"/>
                <w:szCs w:val="32"/>
                <w:u w:val="none"/>
                <w:lang w:val="en-US" w:eastAsia="zh-CN"/>
              </w:rPr>
            </w:pPr>
            <w:r>
              <w:rPr>
                <w:rFonts w:hint="eastAsia" w:ascii="仿宋" w:hAnsi="仿宋" w:eastAsia="仿宋" w:cs="仿宋"/>
                <w:b/>
                <w:bCs w:val="0"/>
                <w:color w:val="000000"/>
                <w:kern w:val="0"/>
                <w:sz w:val="32"/>
                <w:szCs w:val="32"/>
              </w:rPr>
              <w:t>项目支出绩效目标完成情况表</w:t>
            </w:r>
            <w:r>
              <w:rPr>
                <w:rFonts w:hint="eastAsia" w:ascii="仿宋" w:hAnsi="仿宋" w:eastAsia="仿宋" w:cs="仿宋"/>
                <w:b/>
                <w:bCs w:val="0"/>
                <w:color w:val="000000"/>
                <w:kern w:val="0"/>
                <w:sz w:val="32"/>
                <w:szCs w:val="3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1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2"/>
                <w:lang w:val="en-US" w:eastAsia="zh-CN" w:bidi="ar"/>
              </w:rPr>
              <w:t>（</w:t>
            </w:r>
            <w:r>
              <w:rPr>
                <w:rStyle w:val="33"/>
                <w:rFonts w:eastAsia="宋体"/>
                <w:lang w:val="en-US" w:eastAsia="zh-CN" w:bidi="ar"/>
              </w:rPr>
              <w:t xml:space="preserve">   2020    </w:t>
            </w:r>
            <w:r>
              <w:rPr>
                <w:rStyle w:val="32"/>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艾滋病防治项目州级补助资金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中共凉山彝族自治州委党校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2"/>
                <w:lang w:val="en-US" w:eastAsia="zh-CN" w:bidi="ar"/>
              </w:rPr>
              <w:t>预算</w:t>
            </w:r>
            <w:r>
              <w:rPr>
                <w:rStyle w:val="32"/>
                <w:lang w:val="en-US" w:eastAsia="zh-CN" w:bidi="ar"/>
              </w:rPr>
              <w:br w:type="textWrapping"/>
            </w:r>
            <w:r>
              <w:rPr>
                <w:rStyle w:val="32"/>
                <w:lang w:val="en-US" w:eastAsia="zh-CN" w:bidi="ar"/>
              </w:rPr>
              <w:t>执行</w:t>
            </w:r>
            <w:r>
              <w:rPr>
                <w:rStyle w:val="32"/>
                <w:lang w:val="en-US" w:eastAsia="zh-CN" w:bidi="ar"/>
              </w:rPr>
              <w:br w:type="textWrapping"/>
            </w:r>
            <w:r>
              <w:rPr>
                <w:rStyle w:val="32"/>
                <w:lang w:val="en-US" w:eastAsia="zh-CN" w:bidi="ar"/>
              </w:rPr>
              <w:t>情况</w:t>
            </w:r>
            <w:r>
              <w:rPr>
                <w:rStyle w:val="32"/>
                <w:lang w:val="en-US" w:eastAsia="zh-CN" w:bidi="ar"/>
              </w:rPr>
              <w:br w:type="textWrapping"/>
            </w:r>
            <w:r>
              <w:rPr>
                <w:rStyle w:val="34"/>
                <w:lang w:val="en-US" w:eastAsia="zh-CN" w:bidi="ar"/>
              </w:rPr>
              <w:t>（万元）</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6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深入推动凉山州艾滋病综合防治工作纵深发展，全面落实各项综合防治措施，遏制艾滋病疫情蔓延，切实维护全州广大人民群众身体健康，开展领导干部、新增科技及以上领导干部艾滋病防治知识及政策培训。</w:t>
            </w:r>
          </w:p>
        </w:tc>
        <w:tc>
          <w:tcPr>
            <w:tcW w:w="48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了县级班、初任公务员培训班、凉山州卫生健康管理与公共卫生事件处置专题培训班、国有企业高层次经营管理者专题培训班等班次的艾滋病防治知识及政策培训，提高了各级干部对艾滋病防治知识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3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指标1：培训班次</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5个班次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4个班次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指标2：参训进度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32"/>
                <w:lang w:val="en-US" w:eastAsia="zh-CN" w:bidi="ar"/>
              </w:rPr>
              <w:t>上期3个班次培训100人次，下期2个班次培训150人次。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上下期共4个班次，培训200人左右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指标1：拟达成效</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提高各级干部对艾滋病防治知识知晓率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提高了各级干部对艾滋病防治知识知晓率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指标1：完成时间</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指标1：对工作促进作用</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对工作促进作用</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完成领导干部、新增科级及以上领导干部艾滋病防治知识及政策培训。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指标1：可持续影响指标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社会影响力</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推动凉山州艾滋病综合防治工作向纵深发展，全面落实各项综合防治措施，遏制艾滋病疫情蔓延。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指标1：满意度指标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学员满意度达到95%以上</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学员满意度达到95%以上</w:t>
            </w:r>
          </w:p>
        </w:tc>
      </w:tr>
    </w:tbl>
    <w:p>
      <w:pPr>
        <w:pStyle w:val="2"/>
        <w:rPr>
          <w:rFonts w:hint="eastAsia"/>
        </w:rPr>
      </w:pPr>
    </w:p>
    <w:p>
      <w:pPr>
        <w:pStyle w:val="2"/>
        <w:rPr>
          <w:rFonts w:hint="eastAsia"/>
        </w:rPr>
      </w:pPr>
    </w:p>
    <w:p>
      <w:pPr>
        <w:pStyle w:val="2"/>
        <w:rPr>
          <w:rFonts w:hint="eastAsia"/>
        </w:rPr>
      </w:pPr>
    </w:p>
    <w:tbl>
      <w:tblPr>
        <w:tblStyle w:val="13"/>
        <w:tblW w:w="10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8"/>
        <w:gridCol w:w="1140"/>
        <w:gridCol w:w="1839"/>
        <w:gridCol w:w="820"/>
        <w:gridCol w:w="820"/>
        <w:gridCol w:w="2239"/>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5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仿宋" w:cs="方正小标宋简体"/>
                <w:i w:val="0"/>
                <w:iCs w:val="0"/>
                <w:color w:val="000000"/>
                <w:sz w:val="32"/>
                <w:szCs w:val="32"/>
                <w:u w:val="none"/>
                <w:lang w:val="en-US" w:eastAsia="zh-CN"/>
              </w:rPr>
            </w:pPr>
            <w:r>
              <w:rPr>
                <w:rFonts w:hint="eastAsia" w:ascii="仿宋" w:hAnsi="仿宋" w:eastAsia="仿宋" w:cs="仿宋"/>
                <w:b/>
                <w:bCs w:val="0"/>
                <w:color w:val="000000"/>
                <w:kern w:val="0"/>
                <w:sz w:val="32"/>
                <w:szCs w:val="32"/>
              </w:rPr>
              <w:t>项目支出绩效目标完成情况表</w:t>
            </w:r>
            <w:r>
              <w:rPr>
                <w:rFonts w:hint="eastAsia" w:ascii="仿宋" w:hAnsi="仿宋" w:eastAsia="仿宋" w:cs="仿宋"/>
                <w:b/>
                <w:bCs w:val="0"/>
                <w:color w:val="000000"/>
                <w:kern w:val="0"/>
                <w:sz w:val="32"/>
                <w:szCs w:val="3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5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5"/>
                <w:lang w:val="en-US" w:eastAsia="zh-CN" w:bidi="ar"/>
              </w:rPr>
              <w:t>（</w:t>
            </w:r>
            <w:r>
              <w:rPr>
                <w:rStyle w:val="36"/>
                <w:rFonts w:eastAsia="宋体"/>
                <w:lang w:val="en-US" w:eastAsia="zh-CN" w:bidi="ar"/>
              </w:rPr>
              <w:t xml:space="preserve">   2020    </w:t>
            </w:r>
            <w:r>
              <w:rPr>
                <w:rStyle w:val="35"/>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省级科技计划项目经费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中共凉山彝族自治州委党校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4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4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完成《协商民主在四川凉山彝区乡村治理中的制度化实践创新研究》课题</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35"/>
                <w:lang w:val="en-US" w:eastAsia="zh-CN" w:bidi="ar"/>
              </w:rPr>
              <w:t>《协商民主在四川凉山彝区乡村治理中的制度化实践创新研究》课题  完成进度42.88%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5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8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指标1：科研立项</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科研课题立项1个</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科研课题立项1个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指标1：科研结项</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科研课题结项1个</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35"/>
                <w:lang w:val="en-US" w:eastAsia="zh-CN" w:bidi="ar"/>
              </w:rPr>
              <w:t>预计2021年结项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指标1：完成进度</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指标2：结项时间</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指标1：课题经费总额</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5万元</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8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指标1：对工作的促进作用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开展科研工作，力争科研成果。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开展科研工作，力争科研成果。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指标1：社会影响力</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产生良好的社会效益，成为州委州政府的智囊库。</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产生良好的社会效益，成为州委州政府的智囊库。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指标1：社会满意度</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社会满意度达到95%以上。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社会满意度达到95%以上。</w:t>
            </w:r>
          </w:p>
        </w:tc>
      </w:tr>
    </w:tbl>
    <w:p>
      <w:pPr>
        <w:spacing w:line="580" w:lineRule="exact"/>
        <w:rPr>
          <w:rFonts w:ascii="仿宋_GB2312" w:hAnsi="仿宋_GB2312" w:eastAsia="仿宋_GB2312" w:cs="仿宋_GB2312"/>
          <w:sz w:val="32"/>
          <w:szCs w:val="32"/>
        </w:rPr>
      </w:pPr>
    </w:p>
    <w:p>
      <w:pPr>
        <w:pStyle w:val="2"/>
      </w:pPr>
    </w:p>
    <w:tbl>
      <w:tblPr>
        <w:tblStyle w:val="13"/>
        <w:tblW w:w="10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9"/>
        <w:gridCol w:w="1139"/>
        <w:gridCol w:w="1319"/>
        <w:gridCol w:w="719"/>
        <w:gridCol w:w="719"/>
        <w:gridCol w:w="2078"/>
        <w:gridCol w:w="3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69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32"/>
                <w:szCs w:val="32"/>
                <w:u w:val="none"/>
                <w:lang w:val="en-US"/>
              </w:rPr>
            </w:pPr>
            <w:r>
              <w:rPr>
                <w:rFonts w:hint="eastAsia" w:ascii="仿宋" w:hAnsi="仿宋" w:eastAsia="仿宋" w:cs="仿宋"/>
                <w:b/>
                <w:bCs w:val="0"/>
                <w:color w:val="000000"/>
                <w:kern w:val="0"/>
                <w:sz w:val="32"/>
                <w:szCs w:val="32"/>
              </w:rPr>
              <w:t>项目支出绩效目标完成情况表</w:t>
            </w:r>
            <w:r>
              <w:rPr>
                <w:rFonts w:hint="eastAsia" w:ascii="仿宋" w:hAnsi="仿宋" w:eastAsia="仿宋" w:cs="仿宋"/>
                <w:b/>
                <w:bCs w:val="0"/>
                <w:color w:val="000000"/>
                <w:kern w:val="0"/>
                <w:sz w:val="32"/>
                <w:szCs w:val="3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69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7"/>
                <w:rFonts w:eastAsia="宋体"/>
                <w:lang w:val="en-US" w:eastAsia="zh-CN" w:bidi="ar"/>
              </w:rPr>
              <w:t xml:space="preserve">   2020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5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弘扬长征精神党性教育培训经费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中共凉山彝族自治州委党校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坚持以习近平新时代中国特色社会主义思想为指导，全面贯彻党的十九大精神，以弘扬伟大长征精神、走好新时代长征路为主题，整合现有以弘扬长征精神为主题的干部学院、党性教育基地和各级党校资源，联动建设具有全国影响力、特色鲜明的长征干部学院，建立“不忘初心、牢记使命”红色教育基地，形成传承发展长征精神的四川干部教育培训品牌，为推动治蜀兴川再上新台阶提供强大精神动力。</w:t>
            </w:r>
          </w:p>
        </w:tc>
        <w:tc>
          <w:tcPr>
            <w:tcW w:w="52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州易地扶贫搬迁集中安置点治理工作专题培训班；全州新成立乡村党组织书记重点培训班；全州非公经济组织和社会组织党建引领城乡基层治理工作示范培训班；全州党校系统师资培训班；长征干部学院彝海结盟分院示范班及模拟班；全州农村党员骨干重点培训班，参训人员500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指标1：培训人次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全省基层党组织书记培训班126人次，城市党建引领社会治理能力提升示范培训班100人次，其他班次100人次</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州易地扶贫搬迁集中安置点治理工作专题培训班125人次；全州新成立乡村党组织书记重点培训班126人次；全州非公经济组织和社会组织党建引领城乡基层治理工作示范培训班65人次；全州党校系统师资培训班74人次；长征干部学院彝海结盟分院示范班及模拟班49人次；全州农村党员骨干重点培训班70人次，参训人员500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指标2：培训班次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全省基层党组织书记培训班2期，城市党建引领社会治理能力提升示范培训班1期等班次</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州易地扶贫搬迁集中安置点治理工作专题培训班2期；全州新成立乡村党组织书记重点培训班2期；全州非公经济组织和社会组织党建引领城乡基层治理工作示范培训班1期；全州党校系统师资培训班1期；长征干部学院彝海结盟分院示范班及模拟班2期；全州农村党员骨干重点培训班1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指标3：购买数量</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1.2万套</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已申报政府采购计划1.14万 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指标1：培训内容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红军长征故事、彝海结盟历史意义及时代价值、会理会议历史地位再认识、弘扬长征精神做合格党员</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红军长征故事、彝海结盟历史意义及时代价值、会理会议历史地位再认识、弘扬长征精神做合格党员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指标2：培训对象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全省21个市（州）各选派3名基层党组织书记（县处级）、县（市）委组织部分管副部长、具体负责同志、街道党工委书记、副书记、社区党组织书记等</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全省21个市（州）各选派3名基层党组织书记（县处级）、县（市）委组织部分管副部长、具体负责同志、街道党工委书记、副书记、社区党组织书记等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指标3：采购项目</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党性教育培训教材</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党性教育培训教材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指标1：培训完成时间</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指标1：培训费用</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全省基层党组织书记培训班2期50万元，城市党建引领社会治理能力提升示范培训班1期16万元，其他班次14.95万元。</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州易地扶贫搬迁集中安置点治理工作专题培训班7.82无业；全州新成立乡村党组织书记重点培训班18.44万元；全州非公经济组织和社会组织党建引领城乡基层治理工作示范培训班3.99万元；全州党校系统师资培训班15.49万元；长征干部学院彝海结盟分院示范班及模拟班6.99万元；全州农村党员骨干重点培训班6.33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指标2：采购单价</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50元/套，预计1.2万套</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50元/套，预计1.14万套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3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指标1：社会效益</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弘扬伟大长征精神，教育引导广大党员干部发扬革命传统、传承红色基因、坚定理想信念、加强党性修养</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弘扬伟大长征精神，教育引导广大党员干部发扬革命传统、传承红色基因、坚定理想信念、加强党性修养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 xml:space="preserve"> 指标1：参训对象满意度</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Pr>
        <w:pStyle w:val="2"/>
      </w:pPr>
    </w:p>
    <w:p>
      <w:pPr>
        <w:pStyle w:val="2"/>
      </w:pPr>
    </w:p>
    <w:p>
      <w:pPr>
        <w:pStyle w:val="2"/>
      </w:pPr>
    </w:p>
    <w:tbl>
      <w:tblPr>
        <w:tblStyle w:val="13"/>
        <w:tblW w:w="10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0"/>
        <w:gridCol w:w="1140"/>
        <w:gridCol w:w="1260"/>
        <w:gridCol w:w="840"/>
        <w:gridCol w:w="840"/>
        <w:gridCol w:w="2360"/>
        <w:gridCol w:w="2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44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32"/>
                <w:szCs w:val="32"/>
                <w:u w:val="none"/>
                <w:lang w:val="en-US"/>
              </w:rPr>
            </w:pPr>
            <w:r>
              <w:rPr>
                <w:rFonts w:hint="eastAsia" w:ascii="仿宋" w:hAnsi="仿宋" w:eastAsia="仿宋" w:cs="仿宋"/>
                <w:b/>
                <w:bCs w:val="0"/>
                <w:color w:val="000000"/>
                <w:kern w:val="0"/>
                <w:sz w:val="32"/>
                <w:szCs w:val="32"/>
              </w:rPr>
              <w:t>项目支出绩效目标完成情况表</w:t>
            </w:r>
            <w:r>
              <w:rPr>
                <w:rFonts w:hint="eastAsia" w:ascii="仿宋" w:hAnsi="仿宋" w:eastAsia="仿宋" w:cs="仿宋"/>
                <w:b/>
                <w:bCs w:val="0"/>
                <w:color w:val="000000"/>
                <w:kern w:val="0"/>
                <w:sz w:val="32"/>
                <w:szCs w:val="3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44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2020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科研课题及教师培训经费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中共凉山彝族自治州委党校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36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重大理论和现实问题研究，承担党委和政府决策咨询服务，坚持学术研究、理论宣传和决策咨询并重的发展思路，把党校打造成为党委政府科学决策的“思想库”。加强教师队伍建设，提高教师的整体素质，外出培训“长才能”，增加知识储备，提高任课教师教学水平、学科水平和管理水平，培养一支理论功底深、教学能力强、知识储备厚的教研骨干队伍。</w:t>
            </w:r>
          </w:p>
        </w:tc>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项目的实施，我单位专业技术教师聚焦党委政府中心工作、重大决策部署、社会热点难点问题开展深入研究，申报各类课题20项，2020年度出版季刊《凉山党校》4期，打造长征干部学院课程“红军长征过凉山”；加强教师队伍建设，提高教师的整体素质，培养一支理论功底深、教学能力强、知识储备厚的教研骨干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指标1：申报课题</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申报国家及省级社科基金项目课题、申报省委党校重大研究课题并结项、完成全州党校系统调研课题</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申报各类课题，其中省级课题，地厅级课题，市州项目等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指标2：出版数量</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《凉山党校》四期，每期850册</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《凉山党校》四期，每期850册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指标3：科研成果结项</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完成科研成果约25项并结项</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申报各类课题20项，立项15项，其中省级课题1项，地厅级课题11项，获2020年度重大课题市州项目一等奖，立项10个重大研究项目市州项目之一，与省委党校合作的2项科研成果在省委办公厅《每日要情》刊载。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指标4：师资培训人次</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参加北京大学培训10人次以上，参加中央党校培训10人次以上，参加省委党校及相关部门培训10人次以上</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选派教师50余人次到中国延安干部学院、省委党校等地学习，增加知识储备，提升教学能力；举办全州党校系统师资培训班，共培训教师71名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指标1：编辑出版《凉山党校》</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《凉山党校》四期</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《凉山党校》四期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指标2：师资培训进度</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上学期15人次，下学期15人次</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完成进度100%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指标1：完成时间</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指标2：出版时间</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按季度出版</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按季度出版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指标1：课题调研经费</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约6000元/项</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约6000元/项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指标2：师资培训标准</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约5000元/人、次</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约5000元/人、次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2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指标1：科研成果成效</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充分发挥党校的思想阵地作用、理论支撑作用，充分发挥党校智库作用，力争产生良好的社会效益</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充分发挥党校的思想阵地作用、理论支撑作用，充分发挥党校智库作用，力争产生良好的社会效益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指标1：对工作的促进作用</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把党校打造成为党的思想理论建设的重要阵地、打造成为党和国家的哲学社会科学研究机构和重要智库。</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把党校打造成为党的思想理论建设的重要阵地、打造成为党和国家的哲学社会科学研究机构和重要智库。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指标2：拟达成效</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加强教师队伍建设，提高教师的整体素质</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加强教师队伍建设，提高教师的整体素质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指标3：教师能力提升</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加强教师外出培训“长才能”，增加知识储备，着力培养综合素质强、教学水平高的骨干教师</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加强教师外出培训“长才能”，增加知识储备，着力培养综合素质强、教学水平高的骨干教师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指标1：社会满意度</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指标2：教师满意度</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指标3：读者满意度</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r>
    </w:tbl>
    <w:p>
      <w:pPr>
        <w:pStyle w:val="2"/>
      </w:pPr>
    </w:p>
    <w:p>
      <w:pPr>
        <w:pStyle w:val="2"/>
      </w:pPr>
    </w:p>
    <w:p>
      <w:pPr>
        <w:pStyle w:val="2"/>
      </w:pPr>
    </w:p>
    <w:tbl>
      <w:tblPr>
        <w:tblStyle w:val="13"/>
        <w:tblW w:w="10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0"/>
        <w:gridCol w:w="1140"/>
        <w:gridCol w:w="1380"/>
        <w:gridCol w:w="820"/>
        <w:gridCol w:w="800"/>
        <w:gridCol w:w="2220"/>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5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仿宋" w:cs="方正小标宋简体"/>
                <w:i w:val="0"/>
                <w:iCs w:val="0"/>
                <w:color w:val="000000"/>
                <w:sz w:val="32"/>
                <w:szCs w:val="32"/>
                <w:u w:val="none"/>
                <w:lang w:val="en-US" w:eastAsia="zh-CN"/>
              </w:rPr>
            </w:pPr>
            <w:r>
              <w:rPr>
                <w:rFonts w:hint="eastAsia" w:ascii="仿宋" w:hAnsi="仿宋" w:eastAsia="仿宋" w:cs="仿宋"/>
                <w:b/>
                <w:bCs w:val="0"/>
                <w:color w:val="000000"/>
                <w:kern w:val="0"/>
                <w:sz w:val="32"/>
                <w:szCs w:val="32"/>
              </w:rPr>
              <w:t>项目支出绩效目标完成情况表</w:t>
            </w:r>
            <w:r>
              <w:rPr>
                <w:rFonts w:hint="eastAsia" w:ascii="仿宋" w:hAnsi="仿宋" w:eastAsia="仿宋" w:cs="仿宋"/>
                <w:b/>
                <w:bCs w:val="0"/>
                <w:color w:val="000000"/>
                <w:kern w:val="0"/>
                <w:sz w:val="32"/>
                <w:szCs w:val="32"/>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5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2020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5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弥补干部教育培训保障经费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中共凉山彝族自治州委党校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168.99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90.73</w:t>
            </w:r>
          </w:p>
        </w:tc>
        <w:tc>
          <w:tcPr>
            <w:tcW w:w="222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78.26</w:t>
            </w:r>
          </w:p>
        </w:tc>
        <w:tc>
          <w:tcPr>
            <w:tcW w:w="222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坚持从严管理、高效运转，不断提升行政后勤服务水平，为党校中心工作有效正常运转提供有力保障。</w:t>
            </w:r>
          </w:p>
        </w:tc>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一是政务工作更规范；大二是信息化建设更完善；三是后勤保障更有力；四是扶贫帮困更有效。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5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指标1：购买家具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政府采购项目预计采购教学楼二教室礼堂椅105张、书写板96张、会议椅6把、会议条桌3张；</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经过政府采购程序，购置二教室家具（礼堂椅105张，书写板96张，会议椅6把，会议条桌3张）；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指标2：购置电子设备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便携式计算机4台、影仪6台、空调2台、照相机1台；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政府采购笔记本电脑4台，数码相机1台，路由器1台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指标3：长干院设备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餐厅大圆桌1张，餐椅18把，备餐柜1个，沙发1套，茶几1个。</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州市一体化办学，调整长干院的设备采购项目，购买教学设备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指标4：帮扶贫困户数量</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157户</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受益农户157户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指标1：采购标准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川财规【2020】11号文件——四川省政府集中采购目录及标准（2020年版）及凉财企统【2017】45号文件等相关文件测算</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川财规【2020】11号文件——四川省政府集中采购目录及标准（2020年版）及凉财企统【2017】45号文件等相关文件测算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指标2：履行帮扶责任</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认真落实州委州政府脱贫攻坚工作部署</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全年一把手到帮扶村调研指导6次，班子成员督促调研14次，参加帮扶工作人数达110余人次。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指标1：完成时间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指标1：政府采购成本</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设备购置经费34.96万元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购置二教室家具礼堂椅105张，书写板96张，会议条桌3张，会议椅6把，小计10.24万元；笔记本电脑4台，数码相机1台，路由器1台，小计3.4万元，均为为政府集中采购。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指标3：采购图书预算</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5.80万元（和财政拨款24.20万元小计30万元）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已进入政府采购程序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指标4：脱贫攻坚经费</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差旅费10万元，其他交通费用9.5万元，其他支出9万元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差旅费15.52万元，其他交通费用40.62万元，其他支出13.49万元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指标5：后勤保障经费</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维修狗日15万元，物业管理经费20万元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年末决算数物业管理费19.56万元，维修费12.32万元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3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指标1：对教学工作的促进作用</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保障教学工作的正常运转</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保障各培训班次及长征干部学院彝海结盟分院班次的教学工作正常进行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指标2：对脱贫攻坚工作的促进作用</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扶贫帮困更有效</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对口帮扶户全部脱贫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指标2：对日常工作的促进作用</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后期保障更加有力</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进行教室改造、设备维修、环境整治，营造平安和谐校园环境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指标1：拟达成效</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保障干部教育及培训工作的正常运转</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干部教育和培训工作正常进行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指标2：提高服务水平</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提高我单位管理服务水平</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我单位管理服务不断提升，政务工作更加规范，公文处理、档案管理、保密管理、财务管理等各项工作高效运转。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指标3：可持续影响指标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提升党校的整体形象</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坚持从严管理、高效运转，不断提升行政后勤服务水平，为干部教育和培训工作有效正常运转提供有力保障。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指标1：服务对象满意度</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95%以上</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指标2：教职工满意度</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95%以上</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指标3：社会满意度</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95%以上</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95%以上</w:t>
            </w:r>
          </w:p>
        </w:tc>
      </w:tr>
    </w:tbl>
    <w:p>
      <w:pPr>
        <w:pStyle w:val="2"/>
      </w:pPr>
    </w:p>
    <w:p>
      <w:pPr>
        <w:pStyle w:val="2"/>
      </w:pPr>
    </w:p>
    <w:p>
      <w:pPr>
        <w:pStyle w:val="2"/>
      </w:pPr>
    </w:p>
    <w:p>
      <w:pPr>
        <w:pStyle w:val="2"/>
      </w:pPr>
    </w:p>
    <w:tbl>
      <w:tblPr>
        <w:tblStyle w:val="13"/>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940"/>
        <w:gridCol w:w="940"/>
        <w:gridCol w:w="840"/>
        <w:gridCol w:w="840"/>
        <w:gridCol w:w="2380"/>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0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仿宋" w:cs="方正小标宋简体"/>
                <w:i w:val="0"/>
                <w:iCs w:val="0"/>
                <w:color w:val="000000"/>
                <w:sz w:val="32"/>
                <w:szCs w:val="32"/>
                <w:u w:val="none"/>
                <w:lang w:val="en-US" w:eastAsia="zh-CN"/>
              </w:rPr>
            </w:pPr>
            <w:r>
              <w:rPr>
                <w:rFonts w:hint="eastAsia" w:ascii="仿宋" w:hAnsi="仿宋" w:eastAsia="仿宋" w:cs="仿宋"/>
                <w:b/>
                <w:bCs w:val="0"/>
                <w:color w:val="000000"/>
                <w:kern w:val="0"/>
                <w:sz w:val="32"/>
                <w:szCs w:val="32"/>
              </w:rPr>
              <w:t>项目支出绩效目标完成情况表</w:t>
            </w:r>
            <w:r>
              <w:rPr>
                <w:rFonts w:hint="eastAsia" w:ascii="仿宋" w:hAnsi="仿宋" w:eastAsia="仿宋" w:cs="仿宋"/>
                <w:b/>
                <w:bCs w:val="0"/>
                <w:color w:val="000000"/>
                <w:kern w:val="0"/>
                <w:sz w:val="32"/>
                <w:szCs w:val="32"/>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0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2020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干部教育和培训保障经费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7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中共凉山彝族自治州委党校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101.31</w:t>
            </w:r>
          </w:p>
        </w:tc>
        <w:tc>
          <w:tcPr>
            <w:tcW w:w="23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举中国特色社会主义伟大旗帜，坚持以马克思列宁主义、毛泽东思想、邓小平理论、“三个代表”重要思想、科学发展观、习近平新时代中国特色社会主义思想为指导，增强“四个意识”、坚定“四个自信”、做到“两个维护”，落实新时代党的建设总要求，紧紧围绕党和国家工作大局，以培养造就忠诚干净担当的高素质专业化干部队伍为主要目标，发挥干部培训、思想引领、理论建设、决策咨询作用，为新时代坚持和发展中国特色社会主义服务。</w:t>
            </w:r>
          </w:p>
        </w:tc>
        <w:tc>
          <w:tcPr>
            <w:tcW w:w="55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单位努力做优干部培训、做好决策咨询、做实人才培养、做强培训保障，保障了主体班、调训班、各类轮训培训班教学工作的正常进行，以培养造就忠诚干净担当的高素质专业化干部队伍为主要目标，发挥干部培训、思想引领、理论建设、决策咨询作用，为新时代坚持和发展中国特色社会主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指标1：培训天数</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县级领导干部进修班每班次40天、中青年干部培训班每班次60天、选调生培训班每班次20天、各类专题班3-5天/期</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按培训计划进行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指标2：开设课程数量（门）</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全年合计开设课程数量约86门</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全年合计开设课程数量约86门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指标3：调训人次</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县级领导干部进修班每班次50人、中青年干部培训班每班次60人、选调生培训班全年200余人、各类专题培训班全年2000余人、全州党校师资培训班每班次60人</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全年共轮训培训干部2604人次，其中主体班轮训培训干部540人次，其他各类专题培训班轮训培训干部1862人次；统筹承办县级党校主体班，培训干部202人次。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指标4：调训班次</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县级领导干部进修班2个班次、中青年干部培训班2个班次、选调生培训班2个班次、各类专题培训班20个班次、全州党校师资培训班2个班次</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全年共举办各级各类轮训培训班31期，其中主体班8期，其他各类专题培训班18期，统筹承办县级党校主体班5期。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指标1：干部教育培训成果</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培养造就一支忠诚干净担当的高素质专业化干部队伍</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培养造就一支忠诚干净担当的高素质专业化干部队伍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指标2：行政后勤管理服务</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做好行政管理和后勤服务工作</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营造整洁文明和谐的校园环境，保障干部教育培训工作正常运转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指标1：项目完成时间</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指标1：行政管理和后勤服务保障经费</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全年投入经费约25万元</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图书楼装修工程级日常零星维修12万元，物业管理13万元。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指标2：学员培训成本</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学员培训费24.30万元</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全年共举办各级各类轮训培训班31期，其中主体班8期，其他各类专题培训班18期，统筹承办县级党校主体班5期。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指标3：现场教学成本</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汽车租赁费10万元</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现场教学10次，脱贫攻坚租车费12万元。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指标4：外聘教师成本</w:t>
            </w:r>
          </w:p>
        </w:tc>
        <w:tc>
          <w:tcPr>
            <w:tcW w:w="238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预计外聘教师讲课费、交通费、食宿费支出16万元</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外聘教师100余人次为主体班、专题班、师资培训班等授课。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指标5：其他资本性支出</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政府采购办公设备9.58万元，采购图书等14万元</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采购图书已进入政府采购程序（项目总额30万元，其中非税收入安排5.8万元，财政拨款安排24.20万元）。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指标1：拟达成效</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保障干部教育培训工作正常运转</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干部教育培训工作正常运转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指标1：学员能力提升</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学员能力大幅提升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通过“学习—实践—提升”引导学员由只会解释问题的“理论高手”，变成具有解决实际问题的“智慧高手”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指标1：社会满意度</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指标2：参训学员满意度</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指标3：教职工满意度</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大于等于95%</w:t>
            </w:r>
          </w:p>
        </w:tc>
      </w:tr>
    </w:tbl>
    <w:p>
      <w:pPr>
        <w:pStyle w:val="2"/>
      </w:pPr>
    </w:p>
    <w:p>
      <w:pPr>
        <w:pStyle w:val="2"/>
        <w:rPr>
          <w:rFonts w:ascii="仿宋_GB2312" w:hAnsi="仿宋_GB2312" w:eastAsia="仿宋_GB2312" w:cs="仿宋_GB2312"/>
          <w:sz w:val="32"/>
          <w:szCs w:val="32"/>
        </w:rPr>
      </w:pPr>
    </w:p>
    <w:p>
      <w:pPr>
        <w:numPr>
          <w:ilvl w:val="0"/>
          <w:numId w:val="7"/>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adjustRightInd w:val="0"/>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年部门整体支出绩效评价情况开展自评，《凉山州委党校</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pStyle w:val="38"/>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“艾</w:t>
      </w:r>
      <w:r>
        <w:rPr>
          <w:rFonts w:hint="eastAsia" w:ascii="仿宋_GB2312" w:hAnsi="仿宋_GB2312" w:eastAsia="仿宋_GB2312" w:cs="仿宋_GB2312"/>
          <w:sz w:val="32"/>
          <w:szCs w:val="32"/>
        </w:rPr>
        <w:t>滋病防治项目州级补助资金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省级科技计划项目经费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弘扬长征精神党性教育培训经费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科研课题及教师培训经费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弥补干部教育培训保障经费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干部教育和培训保障经费</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6个</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《凉山州</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党校2020年度项目支出绩效自评报告》见附件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pStyle w:val="2"/>
        <w:rPr>
          <w:rFonts w:hint="eastAsia"/>
        </w:rPr>
      </w:pPr>
    </w:p>
    <w:p>
      <w:pPr>
        <w:pStyle w:val="2"/>
      </w:pPr>
    </w:p>
    <w:p>
      <w:pPr>
        <w:spacing w:line="600" w:lineRule="exact"/>
        <w:ind w:firstLine="800" w:firstLineChars="25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napToGrid w:val="0"/>
        <w:spacing w:line="520" w:lineRule="exact"/>
        <w:ind w:firstLine="640" w:firstLineChars="200"/>
        <w:rPr>
          <w:rFonts w:hint="eastAsia" w:ascii="仿宋" w:hAnsi="仿宋" w:eastAsia="仿宋_GB2312"/>
          <w:color w:val="000000"/>
          <w:kern w:val="0"/>
          <w:sz w:val="32"/>
          <w:szCs w:val="32"/>
          <w:lang w:eastAsia="zh-CN"/>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年，州党校机关运行经费支出</w:t>
      </w:r>
      <w:r>
        <w:rPr>
          <w:rFonts w:hint="eastAsia" w:ascii="仿宋_GB2312" w:eastAsia="仿宋_GB2312"/>
          <w:color w:val="000000"/>
          <w:sz w:val="32"/>
          <w:szCs w:val="32"/>
          <w:lang w:val="en-US" w:eastAsia="zh-CN"/>
        </w:rPr>
        <w:t>146.75</w:t>
      </w:r>
      <w:r>
        <w:rPr>
          <w:rFonts w:hint="eastAsia" w:ascii="仿宋_GB2312" w:eastAsia="仿宋_GB2312"/>
          <w:color w:val="000000"/>
          <w:sz w:val="32"/>
          <w:szCs w:val="32"/>
        </w:rPr>
        <w:t>万元，比</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13.31</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9.97</w:t>
      </w:r>
      <w:r>
        <w:rPr>
          <w:rFonts w:ascii="仿宋_GB2312" w:eastAsia="仿宋_GB2312"/>
          <w:color w:val="000000"/>
          <w:sz w:val="32"/>
          <w:szCs w:val="32"/>
        </w:rPr>
        <w:t>%</w:t>
      </w:r>
      <w:r>
        <w:rPr>
          <w:rFonts w:hint="eastAsia" w:ascii="仿宋_GB2312" w:eastAsia="仿宋_GB2312"/>
          <w:color w:val="000000"/>
          <w:sz w:val="32"/>
          <w:szCs w:val="32"/>
          <w:lang w:eastAsia="zh-CN"/>
        </w:rPr>
        <w:t>，变动的</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在职及退休人员的增减变动：</w:t>
      </w:r>
      <w:r>
        <w:rPr>
          <w:rFonts w:hint="eastAsia" w:ascii="仿宋_GB2312" w:hAnsi="仿宋" w:eastAsia="仿宋_GB2312"/>
          <w:sz w:val="32"/>
          <w:szCs w:val="32"/>
        </w:rPr>
        <w:t>事业技术工人退休2人</w:t>
      </w:r>
      <w:r>
        <w:rPr>
          <w:rFonts w:hint="eastAsia" w:ascii="仿宋_GB2312" w:hAnsi="仿宋" w:eastAsia="仿宋_GB2312"/>
          <w:sz w:val="32"/>
          <w:szCs w:val="32"/>
          <w:lang w:eastAsia="zh-CN"/>
        </w:rPr>
        <w:t>、</w:t>
      </w:r>
      <w:r>
        <w:rPr>
          <w:rFonts w:hint="eastAsia" w:ascii="仿宋_GB2312" w:hAnsi="仿宋" w:eastAsia="仿宋_GB2312"/>
          <w:sz w:val="32"/>
          <w:szCs w:val="32"/>
        </w:rPr>
        <w:t>公招录用参公管理人员5名，调出2名</w:t>
      </w:r>
      <w:r>
        <w:rPr>
          <w:rFonts w:hint="eastAsia" w:ascii="仿宋_GB2312" w:hAnsi="仿宋" w:eastAsia="仿宋_GB2312"/>
          <w:sz w:val="32"/>
          <w:szCs w:val="32"/>
          <w:lang w:eastAsia="zh-CN"/>
        </w:rPr>
        <w:t>、</w:t>
      </w:r>
      <w:r>
        <w:rPr>
          <w:rFonts w:hint="eastAsia" w:ascii="仿宋_GB2312" w:hAnsi="仿宋" w:eastAsia="仿宋_GB2312"/>
          <w:sz w:val="32"/>
          <w:szCs w:val="32"/>
        </w:rPr>
        <w:t>新聘专业技术人员9名，调出1名</w:t>
      </w:r>
      <w:r>
        <w:rPr>
          <w:rFonts w:hint="eastAsia" w:ascii="仿宋_GB2312" w:hAnsi="仿宋" w:eastAsia="仿宋_GB2312"/>
          <w:sz w:val="32"/>
          <w:szCs w:val="32"/>
          <w:lang w:eastAsia="zh-CN"/>
        </w:rPr>
        <w:t>、</w:t>
      </w:r>
      <w:r>
        <w:rPr>
          <w:rFonts w:hint="eastAsia" w:ascii="仿宋_GB2312" w:hAnsi="仿宋" w:eastAsia="仿宋_GB2312"/>
          <w:sz w:val="32"/>
          <w:szCs w:val="32"/>
        </w:rPr>
        <w:t>行政退休人员减少2人，事业退休减少1人</w:t>
      </w:r>
      <w:r>
        <w:rPr>
          <w:rFonts w:hint="eastAsia" w:ascii="仿宋_GB2312" w:hAnsi="仿宋" w:eastAsia="仿宋_GB2312"/>
          <w:sz w:val="32"/>
          <w:szCs w:val="32"/>
          <w:lang w:eastAsia="zh-CN"/>
        </w:rPr>
        <w:t>，</w:t>
      </w:r>
      <w:r>
        <w:rPr>
          <w:rFonts w:hint="eastAsia" w:ascii="仿宋_GB2312" w:hAnsi="仿宋" w:eastAsia="仿宋_GB2312" w:cs="仿宋"/>
          <w:bCs/>
          <w:sz w:val="32"/>
          <w:szCs w:val="32"/>
        </w:rPr>
        <w:t>公用经费基数变动，所以</w:t>
      </w:r>
      <w:r>
        <w:rPr>
          <w:rFonts w:hint="eastAsia" w:ascii="仿宋_GB2312" w:hAnsi="仿宋" w:eastAsia="仿宋_GB2312" w:cs="仿宋"/>
          <w:bCs/>
          <w:sz w:val="32"/>
          <w:szCs w:val="32"/>
          <w:lang w:eastAsia="zh-CN"/>
        </w:rPr>
        <w:t>支出</w:t>
      </w:r>
      <w:r>
        <w:rPr>
          <w:rFonts w:hint="eastAsia" w:ascii="仿宋_GB2312" w:hAnsi="仿宋" w:eastAsia="仿宋_GB2312" w:cs="仿宋"/>
          <w:bCs/>
          <w:sz w:val="32"/>
          <w:szCs w:val="32"/>
        </w:rPr>
        <w:t>增加</w:t>
      </w:r>
      <w:r>
        <w:rPr>
          <w:rFonts w:hint="eastAsia" w:ascii="仿宋_GB2312" w:hAnsi="仿宋" w:eastAsia="仿宋_GB2312" w:cs="仿宋"/>
          <w:bCs/>
          <w:sz w:val="32"/>
          <w:szCs w:val="32"/>
          <w:lang w:eastAsia="zh-CN"/>
        </w:rPr>
        <w:t>。</w:t>
      </w:r>
    </w:p>
    <w:p>
      <w:pPr>
        <w:spacing w:line="600" w:lineRule="exact"/>
        <w:ind w:firstLine="640"/>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州党校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23.52</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23.52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政府采购工程支出、</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政府采购服务支出。</w:t>
      </w:r>
      <w:r>
        <w:rPr>
          <w:rFonts w:hint="eastAsia" w:ascii="仿宋_GB2312" w:eastAsia="仿宋_GB2312"/>
          <w:color w:val="000000"/>
          <w:sz w:val="32"/>
          <w:szCs w:val="32"/>
          <w:lang w:eastAsia="zh-CN"/>
        </w:rPr>
        <w:t>政府采购货物支出</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教学、拟任县处级考试及行政办公</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23.52</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23.52</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pStyle w:val="2"/>
        <w:rPr>
          <w:rFonts w:hint="eastAsia" w:ascii="仿宋_GB2312" w:eastAsia="仿宋_GB2312"/>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州党校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w:t>
      </w:r>
      <w:r>
        <w:rPr>
          <w:rFonts w:hint="eastAsia" w:ascii="仿宋_GB2312" w:eastAsia="仿宋_GB2312"/>
          <w:color w:val="000000" w:themeColor="text1"/>
          <w:sz w:val="32"/>
          <w:szCs w:val="32"/>
          <w:lang w:eastAsia="zh-CN"/>
          <w14:textFill>
            <w14:solidFill>
              <w14:schemeClr w14:val="tx1"/>
            </w14:solidFill>
          </w14:textFill>
        </w:rPr>
        <w:t>应急保障用车</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lang w:eastAsia="zh-CN"/>
          <w14:textFill>
            <w14:solidFill>
              <w14:schemeClr w14:val="tx1"/>
            </w14:solidFill>
          </w14:textFill>
        </w:rPr>
        <w:t>。无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eastAsia="zh-CN"/>
          <w14:textFill>
            <w14:solidFill>
              <w14:schemeClr w14:val="tx1"/>
            </w14:solidFill>
          </w14:textFill>
        </w:rPr>
        <w:t>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9"/>
        </w:numPr>
        <w:spacing w:line="600" w:lineRule="exact"/>
        <w:ind w:firstLine="663" w:firstLineChars="150"/>
        <w:jc w:val="center"/>
        <w:outlineLvl w:val="0"/>
        <w:rPr>
          <w:rStyle w:val="26"/>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spacing w:line="600" w:lineRule="exact"/>
        <w:jc w:val="left"/>
        <w:rPr>
          <w:rFonts w:ascii="宋体"/>
          <w:b/>
          <w:color w:val="000000"/>
          <w:sz w:val="44"/>
          <w:szCs w:val="44"/>
        </w:rPr>
      </w:pPr>
    </w:p>
    <w:p>
      <w:pPr>
        <w:pStyle w:val="24"/>
        <w:snapToGri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napToGri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w:t>
      </w:r>
      <w:r>
        <w:rPr>
          <w:rFonts w:hint="eastAsia" w:ascii="仿宋_GB2312" w:eastAsia="仿宋_GB2312"/>
          <w:sz w:val="32"/>
          <w:szCs w:val="32"/>
          <w:lang w:eastAsia="zh-CN"/>
        </w:rPr>
        <w:t>我单位</w:t>
      </w:r>
      <w:r>
        <w:rPr>
          <w:rFonts w:hint="eastAsia" w:ascii="仿宋_GB2312" w:eastAsia="仿宋_GB2312"/>
          <w:sz w:val="32"/>
          <w:szCs w:val="32"/>
        </w:rPr>
        <w:t>开展</w:t>
      </w:r>
      <w:r>
        <w:rPr>
          <w:rFonts w:hint="eastAsia" w:ascii="仿宋_GB2312" w:eastAsia="仿宋_GB2312"/>
          <w:sz w:val="32"/>
          <w:szCs w:val="32"/>
          <w:lang w:eastAsia="zh-CN"/>
        </w:rPr>
        <w:t>研究生教育及干部教育培训等</w:t>
      </w:r>
      <w:r>
        <w:rPr>
          <w:rFonts w:hint="eastAsia" w:ascii="仿宋_GB2312" w:eastAsia="仿宋_GB2312"/>
          <w:sz w:val="32"/>
          <w:szCs w:val="32"/>
        </w:rPr>
        <w:t>活动及辅助活动取得的收入。</w:t>
      </w:r>
    </w:p>
    <w:p>
      <w:pPr>
        <w:pStyle w:val="24"/>
        <w:snapToGrid w:val="0"/>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教育支出类进修及培训款干部教育项：指各级党校、行政学院、社会主义学院、国家会计学院的支出。</w:t>
      </w:r>
    </w:p>
    <w:p>
      <w:pPr>
        <w:ind w:firstLine="640" w:firstLineChars="200"/>
        <w:rPr>
          <w:rFonts w:ascii="仿宋" w:hAnsi="仿宋" w:eastAsia="仿宋"/>
          <w:color w:val="000000"/>
          <w:sz w:val="32"/>
          <w:szCs w:val="32"/>
        </w:rPr>
      </w:pPr>
      <w:r>
        <w:rPr>
          <w:rFonts w:ascii="仿宋" w:hAnsi="仿宋" w:eastAsia="仿宋"/>
          <w:color w:val="000000"/>
          <w:sz w:val="32"/>
          <w:szCs w:val="32"/>
        </w:rPr>
        <w:t xml:space="preserve">5. </w:t>
      </w:r>
      <w:r>
        <w:rPr>
          <w:rFonts w:hint="eastAsia" w:ascii="仿宋" w:hAnsi="仿宋" w:eastAsia="仿宋"/>
          <w:color w:val="000000"/>
          <w:sz w:val="32"/>
          <w:szCs w:val="32"/>
        </w:rPr>
        <w:t>社会保障和就业类行政单位事业离退休款未归口管理的行政单位离退休项：指未实行归口管理的行政单位开支的离退休经费。</w:t>
      </w:r>
    </w:p>
    <w:p>
      <w:pPr>
        <w:ind w:firstLine="640" w:firstLineChars="200"/>
        <w:rPr>
          <w:rFonts w:ascii="仿宋" w:hAnsi="仿宋" w:eastAsia="仿宋"/>
          <w:color w:val="000000"/>
          <w:sz w:val="32"/>
          <w:szCs w:val="32"/>
        </w:rPr>
      </w:pPr>
      <w:r>
        <w:rPr>
          <w:rFonts w:ascii="仿宋" w:hAnsi="仿宋" w:eastAsia="仿宋"/>
          <w:color w:val="000000"/>
          <w:sz w:val="32"/>
          <w:szCs w:val="32"/>
        </w:rPr>
        <w:t xml:space="preserve">6. </w:t>
      </w:r>
      <w:r>
        <w:rPr>
          <w:rFonts w:hint="eastAsia" w:ascii="仿宋" w:hAnsi="仿宋" w:eastAsia="仿宋"/>
          <w:color w:val="000000"/>
          <w:sz w:val="32"/>
          <w:szCs w:val="32"/>
        </w:rPr>
        <w:t>卫生</w:t>
      </w:r>
      <w:r>
        <w:rPr>
          <w:rFonts w:hint="eastAsia" w:ascii="仿宋" w:hAnsi="仿宋" w:eastAsia="仿宋"/>
          <w:color w:val="000000"/>
          <w:sz w:val="32"/>
          <w:szCs w:val="32"/>
          <w:lang w:eastAsia="zh-CN"/>
        </w:rPr>
        <w:t>健康</w:t>
      </w:r>
      <w:r>
        <w:rPr>
          <w:rFonts w:hint="eastAsia" w:ascii="仿宋" w:hAnsi="仿宋" w:eastAsia="仿宋"/>
          <w:color w:val="000000"/>
          <w:sz w:val="32"/>
          <w:szCs w:val="32"/>
        </w:rPr>
        <w:t>支出类</w:t>
      </w:r>
      <w:r>
        <w:rPr>
          <w:rFonts w:hint="eastAsia" w:ascii="仿宋" w:hAnsi="仿宋" w:eastAsia="仿宋"/>
          <w:color w:val="000000"/>
          <w:sz w:val="32"/>
          <w:szCs w:val="32"/>
          <w:lang w:eastAsia="zh-CN"/>
        </w:rPr>
        <w:t>行政事业单位</w:t>
      </w:r>
      <w:r>
        <w:rPr>
          <w:rFonts w:hint="eastAsia" w:ascii="仿宋" w:hAnsi="仿宋" w:eastAsia="仿宋"/>
          <w:color w:val="000000"/>
          <w:sz w:val="32"/>
          <w:szCs w:val="32"/>
        </w:rPr>
        <w:t>医疗支出款：指财政部门集中安排的基本医疗保险</w:t>
      </w:r>
      <w:r>
        <w:rPr>
          <w:rFonts w:hint="eastAsia" w:ascii="仿宋" w:hAnsi="仿宋" w:eastAsia="仿宋"/>
          <w:color w:val="000000"/>
          <w:sz w:val="32"/>
          <w:szCs w:val="32"/>
          <w:lang w:eastAsia="zh-CN"/>
        </w:rPr>
        <w:t>及其他医疗</w:t>
      </w:r>
      <w:r>
        <w:rPr>
          <w:rFonts w:hint="eastAsia" w:ascii="仿宋" w:hAnsi="仿宋" w:eastAsia="仿宋"/>
          <w:color w:val="000000"/>
          <w:sz w:val="32"/>
          <w:szCs w:val="32"/>
        </w:rPr>
        <w:t>缴费经费。</w:t>
      </w:r>
    </w:p>
    <w:p>
      <w:pPr>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住房保障支出类住房改革支出款住房公积金项，指行政事业单位按规定的工资比例为职工缴纳的住房公积金。</w:t>
      </w:r>
      <w:r>
        <w:rPr>
          <w:rFonts w:ascii="仿宋" w:hAnsi="仿宋" w:eastAsia="仿宋"/>
          <w:color w:val="000000"/>
          <w:sz w:val="32"/>
          <w:szCs w:val="32"/>
        </w:rPr>
        <w:t xml:space="preserve"> </w:t>
      </w:r>
    </w:p>
    <w:p>
      <w:pPr>
        <w:ind w:firstLine="640" w:firstLineChars="200"/>
        <w:rPr>
          <w:rFonts w:ascii="仿宋" w:hAnsi="仿宋" w:eastAsia="仿宋"/>
          <w:color w:val="000000"/>
          <w:sz w:val="32"/>
          <w:szCs w:val="32"/>
        </w:rPr>
      </w:pPr>
      <w:r>
        <w:rPr>
          <w:rFonts w:ascii="仿宋" w:hAnsi="仿宋" w:eastAsia="仿宋"/>
          <w:color w:val="000000"/>
          <w:sz w:val="32"/>
          <w:szCs w:val="32"/>
        </w:rPr>
        <w:t xml:space="preserve">8. </w:t>
      </w:r>
      <w:r>
        <w:rPr>
          <w:rFonts w:hint="eastAsia" w:ascii="仿宋" w:hAnsi="仿宋" w:eastAsia="仿宋"/>
          <w:color w:val="000000"/>
          <w:sz w:val="32"/>
          <w:szCs w:val="32"/>
        </w:rPr>
        <w:t>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9.</w:t>
      </w:r>
      <w:r>
        <w:rPr>
          <w:rFonts w:hint="eastAsia" w:ascii="仿宋" w:hAnsi="仿宋" w:eastAsia="仿宋"/>
          <w:color w:val="000000"/>
          <w:sz w:val="32"/>
          <w:szCs w:val="32"/>
        </w:rPr>
        <w:t>项目支出：指在基本支出之外为完成特定行政任务和事业发展目标所发生的支出。</w:t>
      </w:r>
      <w:r>
        <w:rPr>
          <w:rFonts w:ascii="仿宋" w:hAnsi="仿宋" w:eastAsia="仿宋"/>
          <w:color w:val="000000"/>
          <w:sz w:val="32"/>
          <w:szCs w:val="32"/>
        </w:rPr>
        <w:t>.</w:t>
      </w:r>
      <w:r>
        <w:rPr>
          <w:rFonts w:hint="eastAsia" w:ascii="仿宋" w:hAnsi="仿宋" w:eastAsia="仿宋"/>
          <w:color w:val="000000"/>
          <w:sz w:val="32"/>
          <w:szCs w:val="32"/>
        </w:rPr>
        <w:t xml:space="preserve"> </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 xml:space="preserve">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lang w:val="en-US" w:eastAsia="zh-CN"/>
        </w:rPr>
        <w:t>1</w:t>
      </w:r>
      <w:r>
        <w:rPr>
          <w:rFonts w:ascii="仿宋" w:hAnsi="仿宋" w:eastAsia="仿宋"/>
          <w:color w:val="000000"/>
          <w:sz w:val="32"/>
          <w:szCs w:val="32"/>
        </w:rPr>
        <w:t xml:space="preserve">. </w:t>
      </w:r>
      <w:r>
        <w:rPr>
          <w:rFonts w:hint="eastAsia" w:ascii="仿宋" w:hAnsi="仿宋" w:eastAsia="仿宋"/>
          <w:color w:val="000000"/>
          <w:sz w:val="32"/>
          <w:szCs w:val="32"/>
        </w:rPr>
        <w:t>干部教育培训教育保障经费：即保障党校干部教育培训工作的开展所需的经费，包括办公费、印刷费、水电费、邮电费、物业管理费等支出。</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 机关运行经费：为保障行政单位（含参照公务员法管理的事业单位）运行用于购买货物和服务的各项资金，包括办公费、邮电费、差旅费、会议费、福利费、日常维修费、办公用房水电费、办公用房物业管理费、公务用车运行维护费以及其他费用。</w:t>
      </w:r>
    </w:p>
    <w:p>
      <w:pPr>
        <w:rPr>
          <w:rFonts w:hint="eastAsia" w:ascii="黑体" w:hAnsi="黑体" w:eastAsia="黑体"/>
          <w:color w:val="000000"/>
          <w:sz w:val="44"/>
          <w:szCs w:val="44"/>
        </w:rPr>
      </w:pPr>
      <w:bookmarkStart w:id="57" w:name="_Toc15396614"/>
      <w:bookmarkStart w:id="58" w:name="_Toc15377226"/>
      <w:r>
        <w:rPr>
          <w:rFonts w:hint="eastAsia" w:ascii="黑体" w:hAnsi="黑体" w:eastAsia="黑体"/>
          <w:color w:val="000000"/>
          <w:sz w:val="44"/>
          <w:szCs w:val="44"/>
        </w:rPr>
        <w:br w:type="page"/>
      </w:r>
    </w:p>
    <w:p>
      <w:pPr>
        <w:pStyle w:val="24"/>
        <w:spacing w:line="560" w:lineRule="exact"/>
        <w:jc w:val="center"/>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四部分 附件</w:t>
      </w:r>
      <w:bookmarkEnd w:id="57"/>
    </w:p>
    <w:p>
      <w:pPr>
        <w:pStyle w:val="4"/>
        <w:rPr>
          <w:rStyle w:val="26"/>
          <w:rFonts w:ascii="仿宋" w:hAnsi="仿宋" w:eastAsia="仿宋"/>
          <w:b w:val="0"/>
          <w:bCs w:val="0"/>
          <w:sz w:val="32"/>
          <w:szCs w:val="32"/>
        </w:rPr>
      </w:pPr>
      <w:bookmarkStart w:id="59" w:name="_Toc15396615"/>
      <w:r>
        <w:rPr>
          <w:rStyle w:val="26"/>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r>
        <w:rPr>
          <w:rFonts w:hint="eastAsia" w:ascii="黑体" w:hAnsi="黑体" w:eastAsia="黑体" w:cs="方正小标宋简体"/>
          <w:sz w:val="36"/>
          <w:szCs w:val="36"/>
          <w:lang w:eastAsia="zh-CN"/>
        </w:rPr>
        <w:t>中共凉山彝族自治州委党校</w:t>
      </w:r>
    </w:p>
    <w:p>
      <w:pPr>
        <w:spacing w:line="600" w:lineRule="exact"/>
        <w:jc w:val="center"/>
        <w:outlineLvl w:val="0"/>
        <w:rPr>
          <w:rFonts w:hint="eastAsia" w:ascii="黑体" w:hAnsi="黑体" w:eastAsia="黑体" w:cs="方正小标宋简体"/>
          <w:sz w:val="36"/>
          <w:szCs w:val="36"/>
        </w:rPr>
      </w:pPr>
      <w:r>
        <w:rPr>
          <w:rFonts w:hint="eastAsia" w:ascii="黑体" w:hAnsi="黑体" w:eastAsia="黑体" w:cs="方正小标宋简体"/>
          <w:sz w:val="36"/>
          <w:szCs w:val="36"/>
        </w:rPr>
        <w:t>2020年度部门整体支出绩效报告</w:t>
      </w:r>
    </w:p>
    <w:p>
      <w:pPr>
        <w:adjustRightInd w:val="0"/>
        <w:snapToGrid w:val="0"/>
        <w:spacing w:line="600" w:lineRule="exact"/>
        <w:jc w:val="center"/>
        <w:rPr>
          <w:rFonts w:cs="方正小标宋简体" w:asciiTheme="minorEastAsia" w:hAnsiTheme="minorEastAsia" w:eastAsiaTheme="minorEastAsia"/>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一、单位概况</w:t>
      </w:r>
    </w:p>
    <w:p>
      <w:pPr>
        <w:spacing w:line="580" w:lineRule="exact"/>
        <w:ind w:firstLine="422" w:firstLineChars="200"/>
        <w:rPr>
          <w:rFonts w:ascii="仿宋" w:hAnsi="仿宋" w:eastAsia="仿宋" w:cs="仿宋_GB2312"/>
          <w:b/>
          <w:bCs w:val="0"/>
          <w:sz w:val="32"/>
          <w:szCs w:val="32"/>
        </w:rPr>
      </w:pPr>
      <w:r>
        <w:rPr>
          <w:rFonts w:hint="eastAsia" w:cs="黑体" w:asciiTheme="minorEastAsia" w:hAnsiTheme="minorEastAsia" w:eastAsiaTheme="minorEastAsia"/>
          <w:b/>
          <w:bCs w:val="0"/>
        </w:rPr>
        <w:t xml:space="preserve">  </w:t>
      </w:r>
      <w:r>
        <w:rPr>
          <w:rFonts w:hint="eastAsia" w:ascii="仿宋" w:hAnsi="仿宋" w:eastAsia="仿宋" w:cs="仿宋_GB2312"/>
          <w:b/>
          <w:bCs w:val="0"/>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凉山州委党校为州本级独立核算机构一个。</w:t>
      </w: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（二）机构职能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州委党校的职能是培训轮训各级党员领导干部及后备干部，培养理论干部；承办党委和政府举办的专题研讨班；围绕国际国内出现的新情况新问题开展科学研究，承担党委和政府下达的调研任务，推进理论创新。针对改革开放和社会主义现代化进程中的重大理论和现实问题，开展马克思主义中国化最新成果的理论宣传，开展党的路线方针政策的宣传。按照国家有关法律法规和政策规定，开展学位研究生以及其他形式的干部继续教育和培训。设有教务科、学员管理科等17个职能科室，其中科研科、马克思主义基本理论教研室、经济学教研室、综合教研室、民族理论研究室等科室承担了教学科研的主要任务。</w:t>
      </w: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2020年年末在职人员实有数为78人，其中参照公务员管理人员34人，专业技术人员37人，事业技术工人7人;退休人员62人。</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60" w:lineRule="atLeast"/>
        <w:rPr>
          <w:rFonts w:ascii="仿宋" w:hAnsi="仿宋" w:eastAsia="仿宋" w:cs="仿宋_GB2312"/>
          <w:b/>
          <w:bCs/>
          <w:sz w:val="32"/>
          <w:szCs w:val="32"/>
        </w:rPr>
      </w:pPr>
      <w:r>
        <w:rPr>
          <w:rFonts w:hint="eastAsia" w:asciiTheme="minorEastAsia" w:hAnsiTheme="minorEastAsia" w:eastAsiaTheme="minorEastAsia"/>
        </w:rPr>
        <w:t xml:space="preserve">  </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b/>
          <w:bCs/>
          <w:sz w:val="32"/>
          <w:szCs w:val="32"/>
        </w:rPr>
        <w:t>（一）部门财政资金收入情况</w:t>
      </w:r>
    </w:p>
    <w:p>
      <w:pPr>
        <w:spacing w:line="56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2020年总收入2771.11万元，其中财政拨款收入2530.49万元，事业收入240.62万元，上年结转41.04万元。</w:t>
      </w:r>
    </w:p>
    <w:p>
      <w:pPr>
        <w:spacing w:line="560" w:lineRule="atLeast"/>
        <w:rPr>
          <w:rFonts w:ascii="仿宋" w:hAnsi="仿宋" w:eastAsia="仿宋" w:cs="仿宋_GB2312"/>
          <w:b/>
          <w:bCs/>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b/>
          <w:bCs/>
          <w:sz w:val="32"/>
          <w:szCs w:val="32"/>
        </w:rPr>
        <w:t>（二）部门财政资金支出情况</w:t>
      </w:r>
    </w:p>
    <w:p>
      <w:pPr>
        <w:spacing w:line="56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2020年总支出1748.72万元，其中基本支出1418.20万元（工资福利支出1055.79万元、商品和服务支出146.75万元、对个人和家庭补助支出215.66万元）项目支出330.52万元。</w:t>
      </w:r>
    </w:p>
    <w:p>
      <w:pPr>
        <w:spacing w:line="560" w:lineRule="atLeas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（三）年末结转结余情况</w:t>
      </w:r>
    </w:p>
    <w:p>
      <w:pPr>
        <w:spacing w:line="56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年末结转和结余为1063.42万元，均为项目经费，较上年增加1045.91万元，财政拨款结转项目经费916.68万元，结转明细如下：2020年四川长征干部学院建设专项经费751万元，2020年艾滋病防治州级补助资金2.11万元，省级科技计划项目资金2.86万元，长征干部学院课程涉及经费72万元，2020年凉山州高层次人才安家补助等相关经费24.24万元，电教室设备购置专项经费30万元，政府采购图书及设备经费34.47万元）；财政专户管理的资金5.8万元（政府采购经费），其他资金结转140.94万元（州委组织部弘扬长征精神党性教育培训经费）。</w:t>
      </w:r>
    </w:p>
    <w:p>
      <w:pPr>
        <w:spacing w:line="560" w:lineRule="atLeast"/>
        <w:rPr>
          <w:rFonts w:asciiTheme="minorEastAsia" w:hAnsiTheme="minorEastAsia" w:eastAsiaTheme="minorEastAsia"/>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w:t>
      </w:r>
    </w:p>
    <w:p>
      <w:pPr>
        <w:spacing w:line="580" w:lineRule="exact"/>
        <w:ind w:firstLine="420" w:firstLineChars="200"/>
        <w:rPr>
          <w:rFonts w:ascii="仿宋" w:hAnsi="仿宋" w:eastAsia="仿宋" w:cs="仿宋_GB2312"/>
          <w:b/>
          <w:bCs/>
          <w:sz w:val="32"/>
          <w:szCs w:val="32"/>
        </w:rPr>
      </w:pPr>
      <w:r>
        <w:rPr>
          <w:rFonts w:hint="eastAsia" w:asciiTheme="minorEastAsia" w:hAnsiTheme="minorEastAsia" w:eastAsiaTheme="minorEastAsia"/>
        </w:rPr>
        <w:t xml:space="preserve">   </w:t>
      </w:r>
      <w:r>
        <w:rPr>
          <w:rFonts w:hint="eastAsia" w:ascii="仿宋" w:hAnsi="仿宋" w:eastAsia="仿宋" w:cs="仿宋_GB2312"/>
          <w:b/>
          <w:bCs/>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2020年按照州级部门预算编制通知精神和有关要求，完成基本支出预算、项目支出预算编制工作，按时完成基础库、项目库数据的报送工作，项目绩效目标编制明确、量化，细化。</w:t>
      </w: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（二）执行管理情况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单位严格财务管理制度，按规定使用各项资金，没有改变资金用途，没有截留挪用现象，项目实施、预算执行比较及时，资金使用安全、规范，资金支出严格落实中央“八项”规定和省、州“十项规定”，厉行勤俭节约，严格遵守廉洁从政有关规定，领导干部下基层调研、参加会议、检查工作等均严格按照中央和省委的有关要求执行，无公车私用、超标准接待等行为。</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“三公”经费、差旅费、会议费、培训费等均用公务卡进行结算，截至2020年12月31日公务卡消费报账还款192笔，报账还款金额24.28万元，全年现金支出仅为4.36万元。</w:t>
      </w:r>
    </w:p>
    <w:p>
      <w:pPr>
        <w:pStyle w:val="2"/>
      </w:pP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（三）“三公”经费情况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w:t>
      </w:r>
      <w:r>
        <w:rPr>
          <w:rFonts w:hint="eastAsia" w:ascii="仿宋" w:hAnsi="仿宋" w:eastAsia="仿宋" w:cs="仿宋_GB2312"/>
          <w:sz w:val="32"/>
          <w:szCs w:val="32"/>
        </w:rPr>
        <w:t>20</w:t>
      </w:r>
      <w:r>
        <w:rPr>
          <w:rFonts w:ascii="仿宋" w:hAnsi="仿宋" w:eastAsia="仿宋" w:cs="仿宋_GB2312"/>
          <w:sz w:val="32"/>
          <w:szCs w:val="32"/>
        </w:rPr>
        <w:t>年</w:t>
      </w:r>
      <w:r>
        <w:rPr>
          <w:rFonts w:hint="eastAsia" w:ascii="仿宋" w:hAnsi="仿宋" w:eastAsia="仿宋" w:cs="仿宋_GB2312"/>
          <w:sz w:val="32"/>
          <w:szCs w:val="32"/>
        </w:rPr>
        <w:t>度</w:t>
      </w:r>
      <w:r>
        <w:rPr>
          <w:rFonts w:ascii="仿宋" w:hAnsi="仿宋" w:eastAsia="仿宋" w:cs="仿宋_GB2312"/>
          <w:sz w:val="32"/>
          <w:szCs w:val="32"/>
        </w:rPr>
        <w:t>，</w:t>
      </w:r>
      <w:r>
        <w:rPr>
          <w:rFonts w:hint="eastAsia" w:ascii="仿宋" w:hAnsi="仿宋" w:eastAsia="仿宋" w:cs="仿宋_GB2312"/>
          <w:sz w:val="32"/>
          <w:szCs w:val="32"/>
        </w:rPr>
        <w:t>一般公共预算财政拨款</w:t>
      </w:r>
      <w:r>
        <w:rPr>
          <w:rFonts w:ascii="仿宋" w:hAnsi="仿宋" w:eastAsia="仿宋" w:cs="仿宋_GB2312"/>
          <w:sz w:val="32"/>
          <w:szCs w:val="32"/>
        </w:rPr>
        <w:t>“三公”</w:t>
      </w:r>
      <w:r>
        <w:rPr>
          <w:rFonts w:hint="eastAsia" w:ascii="仿宋" w:hAnsi="仿宋" w:eastAsia="仿宋" w:cs="仿宋_GB2312"/>
          <w:sz w:val="32"/>
          <w:szCs w:val="32"/>
        </w:rPr>
        <w:t>经费预算数12.64万元，实际支出</w:t>
      </w:r>
      <w:r>
        <w:rPr>
          <w:rFonts w:ascii="仿宋" w:hAnsi="仿宋" w:eastAsia="仿宋" w:cs="仿宋_GB2312"/>
          <w:sz w:val="32"/>
          <w:szCs w:val="32"/>
        </w:rPr>
        <w:t>总体比预算节约</w:t>
      </w:r>
      <w:r>
        <w:rPr>
          <w:rFonts w:hint="eastAsia" w:ascii="仿宋" w:hAnsi="仿宋" w:eastAsia="仿宋" w:cs="仿宋_GB2312"/>
          <w:sz w:val="32"/>
          <w:szCs w:val="32"/>
        </w:rPr>
        <w:t>18.09</w:t>
      </w:r>
      <w:r>
        <w:rPr>
          <w:rFonts w:ascii="仿宋" w:hAnsi="仿宋" w:eastAsia="仿宋" w:cs="仿宋_GB2312"/>
          <w:sz w:val="32"/>
          <w:szCs w:val="32"/>
        </w:rPr>
        <w:t>%。具体</w:t>
      </w:r>
      <w:r>
        <w:rPr>
          <w:rFonts w:hint="eastAsia" w:ascii="仿宋" w:hAnsi="仿宋" w:eastAsia="仿宋" w:cs="仿宋_GB2312"/>
          <w:sz w:val="32"/>
          <w:szCs w:val="32"/>
        </w:rPr>
        <w:t>明细如下</w:t>
      </w:r>
      <w:r>
        <w:rPr>
          <w:rFonts w:ascii="仿宋" w:hAnsi="仿宋" w:eastAsia="仿宋" w:cs="仿宋_GB2312"/>
          <w:sz w:val="32"/>
          <w:szCs w:val="32"/>
        </w:rPr>
        <w:t>：20</w:t>
      </w:r>
      <w:r>
        <w:rPr>
          <w:rFonts w:hint="eastAsia" w:ascii="仿宋" w:hAnsi="仿宋" w:eastAsia="仿宋" w:cs="仿宋_GB2312"/>
          <w:sz w:val="32"/>
          <w:szCs w:val="32"/>
        </w:rPr>
        <w:t>20</w:t>
      </w:r>
      <w:r>
        <w:rPr>
          <w:rFonts w:ascii="仿宋" w:hAnsi="仿宋" w:eastAsia="仿宋" w:cs="仿宋_GB2312"/>
          <w:sz w:val="32"/>
          <w:szCs w:val="32"/>
        </w:rPr>
        <w:t>年</w:t>
      </w:r>
      <w:r>
        <w:rPr>
          <w:rFonts w:hint="eastAsia" w:ascii="仿宋" w:hAnsi="仿宋" w:eastAsia="仿宋" w:cs="仿宋_GB2312"/>
          <w:sz w:val="32"/>
          <w:szCs w:val="32"/>
        </w:rPr>
        <w:t>度</w:t>
      </w:r>
      <w:r>
        <w:rPr>
          <w:rFonts w:ascii="仿宋" w:hAnsi="仿宋" w:eastAsia="仿宋" w:cs="仿宋_GB2312"/>
          <w:sz w:val="32"/>
          <w:szCs w:val="32"/>
        </w:rPr>
        <w:t>我校无因公出国（境）费用</w:t>
      </w:r>
      <w:r>
        <w:rPr>
          <w:rFonts w:hint="eastAsia" w:ascii="仿宋" w:hAnsi="仿宋" w:eastAsia="仿宋" w:cs="仿宋_GB2312"/>
          <w:sz w:val="32"/>
          <w:szCs w:val="32"/>
        </w:rPr>
        <w:t>；</w:t>
      </w:r>
      <w:r>
        <w:rPr>
          <w:rFonts w:ascii="仿宋" w:hAnsi="仿宋" w:eastAsia="仿宋" w:cs="仿宋_GB2312"/>
          <w:sz w:val="32"/>
          <w:szCs w:val="32"/>
        </w:rPr>
        <w:t>公务用车运行维护费预算</w:t>
      </w:r>
      <w:r>
        <w:rPr>
          <w:rFonts w:hint="eastAsia" w:ascii="仿宋" w:hAnsi="仿宋" w:eastAsia="仿宋" w:cs="仿宋_GB2312"/>
          <w:sz w:val="32"/>
          <w:szCs w:val="32"/>
        </w:rPr>
        <w:t>9.7</w:t>
      </w:r>
      <w:r>
        <w:rPr>
          <w:rFonts w:ascii="仿宋" w:hAnsi="仿宋" w:eastAsia="仿宋" w:cs="仿宋_GB2312"/>
          <w:sz w:val="32"/>
          <w:szCs w:val="32"/>
        </w:rPr>
        <w:t>万元，实际支出</w:t>
      </w:r>
      <w:r>
        <w:rPr>
          <w:rFonts w:hint="eastAsia" w:ascii="仿宋" w:hAnsi="仿宋" w:eastAsia="仿宋" w:cs="仿宋_GB2312"/>
          <w:sz w:val="32"/>
          <w:szCs w:val="32"/>
        </w:rPr>
        <w:t>9.7</w:t>
      </w:r>
      <w:r>
        <w:rPr>
          <w:rFonts w:ascii="仿宋" w:hAnsi="仿宋" w:eastAsia="仿宋" w:cs="仿宋_GB2312"/>
          <w:sz w:val="32"/>
          <w:szCs w:val="32"/>
        </w:rPr>
        <w:t>万元，</w:t>
      </w:r>
      <w:r>
        <w:rPr>
          <w:rFonts w:hint="eastAsia" w:ascii="仿宋" w:hAnsi="仿宋" w:eastAsia="仿宋" w:cs="仿宋_GB2312"/>
          <w:sz w:val="32"/>
          <w:szCs w:val="32"/>
        </w:rPr>
        <w:t>与</w:t>
      </w:r>
      <w:r>
        <w:rPr>
          <w:rFonts w:ascii="仿宋" w:hAnsi="仿宋" w:eastAsia="仿宋" w:cs="仿宋_GB2312"/>
          <w:sz w:val="32"/>
          <w:szCs w:val="32"/>
        </w:rPr>
        <w:t>预算</w:t>
      </w:r>
      <w:r>
        <w:rPr>
          <w:rFonts w:hint="eastAsia" w:ascii="仿宋" w:hAnsi="仿宋" w:eastAsia="仿宋" w:cs="仿宋_GB2312"/>
          <w:sz w:val="32"/>
          <w:szCs w:val="32"/>
        </w:rPr>
        <w:t>持平，较上年压减3%；财政经费拨款</w:t>
      </w:r>
      <w:r>
        <w:rPr>
          <w:rFonts w:ascii="仿宋" w:hAnsi="仿宋" w:eastAsia="仿宋" w:cs="仿宋_GB2312"/>
          <w:sz w:val="32"/>
          <w:szCs w:val="32"/>
        </w:rPr>
        <w:t>公务接待费预算</w:t>
      </w:r>
      <w:r>
        <w:rPr>
          <w:rFonts w:hint="eastAsia" w:ascii="仿宋" w:hAnsi="仿宋" w:eastAsia="仿宋" w:cs="仿宋_GB2312"/>
          <w:sz w:val="32"/>
          <w:szCs w:val="32"/>
        </w:rPr>
        <w:t>2.31万</w:t>
      </w:r>
      <w:r>
        <w:rPr>
          <w:rFonts w:ascii="仿宋" w:hAnsi="仿宋" w:eastAsia="仿宋" w:cs="仿宋_GB2312"/>
          <w:sz w:val="32"/>
          <w:szCs w:val="32"/>
        </w:rPr>
        <w:t>元，实际支出</w:t>
      </w:r>
      <w:r>
        <w:rPr>
          <w:rFonts w:hint="eastAsia" w:ascii="仿宋" w:hAnsi="仿宋" w:eastAsia="仿宋" w:cs="仿宋_GB2312"/>
          <w:sz w:val="32"/>
          <w:szCs w:val="32"/>
        </w:rPr>
        <w:t>0.65</w:t>
      </w:r>
      <w:r>
        <w:rPr>
          <w:rFonts w:ascii="仿宋" w:hAnsi="仿宋" w:eastAsia="仿宋" w:cs="仿宋_GB2312"/>
          <w:sz w:val="32"/>
          <w:szCs w:val="32"/>
        </w:rPr>
        <w:t>万元，比预算节约</w:t>
      </w:r>
      <w:r>
        <w:rPr>
          <w:rFonts w:hint="eastAsia" w:ascii="仿宋" w:hAnsi="仿宋" w:eastAsia="仿宋" w:cs="仿宋_GB2312"/>
          <w:sz w:val="32"/>
          <w:szCs w:val="32"/>
        </w:rPr>
        <w:t>71.79</w:t>
      </w:r>
      <w:r>
        <w:rPr>
          <w:rFonts w:ascii="仿宋" w:hAnsi="仿宋" w:eastAsia="仿宋" w:cs="仿宋_GB2312"/>
          <w:sz w:val="32"/>
          <w:szCs w:val="32"/>
        </w:rPr>
        <w:t>%</w:t>
      </w:r>
      <w:r>
        <w:rPr>
          <w:rFonts w:hint="eastAsia" w:ascii="仿宋" w:hAnsi="仿宋" w:eastAsia="仿宋" w:cs="仿宋_GB2312"/>
          <w:sz w:val="32"/>
          <w:szCs w:val="32"/>
        </w:rPr>
        <w:t>；全年公务接待费（含非税收入安排）预算资金安排3.57万元，实际支出1.24万元，接待批次为12次，接待人数计119人，人均支出约104元。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2020年度会议费预算数为2.8万元，实际支出0.51万元，较预算节约81.66%。</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2020年度培训费预算数45.89万元，实际支出47.19万元，较预算增加2.81%，其原因是州市一体化办学，部门主体班在西昌市委党校举办，因此学员培训费增加。</w:t>
      </w:r>
    </w:p>
    <w:p>
      <w:pPr>
        <w:pStyle w:val="2"/>
      </w:pP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（四）政府采购执行情况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2020年政府采购备案采购项目为台式计算机、便携式计算机、交换机、空调、投影仪、照相机、教室家具及公务用车运行维护服务项目，预算数为94.96万元，实际采购23.52万元，采购明细如下：公务用车运行维护费9.7万元，为定点采购；购置二教室家具礼堂椅105张，书写板96张，会议条桌3张，会议椅6把，小计10.24万元；笔记本电脑4台，数码相机1台，路由器1台，小计3.</w:t>
      </w:r>
      <w:r>
        <w:rPr>
          <w:rFonts w:hint="eastAsia" w:ascii="仿宋" w:hAnsi="仿宋" w:eastAsia="仿宋" w:cs="仿宋_GB2312"/>
          <w:sz w:val="32"/>
          <w:szCs w:val="32"/>
          <w:lang w:val="en-US" w:eastAsia="zh-CN"/>
        </w:rPr>
        <w:t>58</w:t>
      </w:r>
      <w:r>
        <w:rPr>
          <w:rFonts w:hint="eastAsia" w:ascii="仿宋" w:hAnsi="仿宋" w:eastAsia="仿宋" w:cs="仿宋_GB2312"/>
          <w:sz w:val="32"/>
          <w:szCs w:val="32"/>
        </w:rPr>
        <w:t>万元，均为为政府集中采购。实施的采购计划与政府采购预算一致。政府采购资金结转下年70.28万元。</w:t>
      </w:r>
    </w:p>
    <w:p>
      <w:pPr>
        <w:pStyle w:val="2"/>
      </w:pP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（五）非税收入征缴情况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非税收入的征收严格按照收费文件规定的项目、标准执行，无扩大范围及超标准现象，严格执行“收支两条线”，非税收入及时、足额缴入财政专户。本年非税收入总额182.99万元，部门预算安排120万元，超收收入62.99万元。</w:t>
      </w:r>
    </w:p>
    <w:p>
      <w:pPr>
        <w:pStyle w:val="2"/>
      </w:pP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（六）国有资产管理情况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我校的国有资产全部纳入了资产信息系统管理，资产变动情况及时录入系统，有专人负责系统管理。所有应纳入固定资产管理的国有资产及时入账，纳入系统管理。按时上报资产报表，报表数据真实、准确、账实相符。同时提交资产分析报告，对资产变动情况作了分析说明。2019年期末我校国有资产原值1408.61万元，无形资产1.7万元。2020年新增电脑、家具、图书、等资产18.22万元；经财政批复处置减少电脑78台，2020年期末固定资产原值1426.83万元。</w:t>
      </w:r>
    </w:p>
    <w:p>
      <w:pPr>
        <w:pStyle w:val="2"/>
      </w:pP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（七）其他对单位影响较大的支出情况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2020年6月四川省委组织部拨入“弘扬长征精神党性教育培训班”经费200万元，用于州委组织举办的弘扬长征精神党性教育培训项目。现已支出59.06万元，具体明细如下：全州易地扶贫搬迁集中安置点治理工作专题培训班7.82万元，全州新成立乡村党组织书记重点培训班18.44万元，全州非公经济组织和社会组织党建引领城乡基层治理工作示范培训班3.62万元，全州党校系统师资培训班15.49万元，长征干部学院彝海结盟分院示范班及模拟班7.36万元，全州农村党员骨干重点培训班6.33万元；年末结余140.94万元，于下一年度继续使用。</w:t>
      </w:r>
    </w:p>
    <w:p>
      <w:pPr>
        <w:spacing w:line="580" w:lineRule="exact"/>
        <w:rPr>
          <w:rFonts w:hint="eastAsia" w:ascii="仿宋" w:hAnsi="仿宋" w:eastAsia="仿宋" w:cs="仿宋_GB2312"/>
          <w:b/>
          <w:bCs/>
          <w:sz w:val="32"/>
          <w:szCs w:val="32"/>
        </w:rPr>
      </w:pP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（八）结果应用情况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1、我校开展了预算绩效管理工作自查自评，并按时向财政报送自评报告的，自评得分25分。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2、绩效评价自评报告基本格式规范的，自评得分10分，内容完整、分析深入、观点客观、建议举措具有一定价值的，自评得分5分。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3、州财政局对单位整体支出或项目支出绩效进行现场评价，自评得分89分。</w:t>
      </w:r>
    </w:p>
    <w:p>
      <w:pPr>
        <w:pStyle w:val="2"/>
      </w:pP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（九）整体绩效情况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我校坚持以习近平总书记关于党校办学治校系列重要指示精神为指导，牢牢把握党校姓党根本原则，以贯彻落实《中国共产党党校（行政学院）工作条例》为契机，以县级党校分类建设、联合共建四川长征干部学院为抓手，充分发挥干部培训、思想引领、理论建设、决策咨询作用，不断提升党校办学质量水平，为培养造就忠诚干净担当的高素质专业化干部队伍、推动凉山脱贫奔康转型发展作出积极贡献。全年共举办各级各类轮训培训班31期，轮训培训干部2604人次，其中主体班8期，轮训培训干部540人次，其他各类专题培训班18期，轮训培训干部1862人次；统筹承办县级党校主体班5期，培训干部202人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1、坚持政治强校，在坚持党校姓党、做优主业主课上取得新进展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始终把党校姓党作为最本质的政治属性、最鲜明的政治特征、最突出的政治优势，贯穿全部工作的各方面各环节。 一是把旗帜鲜明讲政治作为根本要求。二是把学好用好讲好习近平新时代中国特色社会主义思想作为头等大事。三是把党的理论教育和党性教育作为重要内容。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2、坚持质量立校，在提高办学水平、强化办学保障上取得新进展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始终把质量作为党校工作的核心竞争力，积极探索和遵循党校教育规律和干部成长规律，不断提高教学科研、队伍建设和管理服务水平。一是教学质量不断提升。二是科研基础不断夯实。三是队伍建设不断加强。四是管理服务不断提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3、坚持改革兴校，在增强办学活力、凝聚发展合力上取得新进展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始终把改革创新作为破解难题、推动发展的重要动力，聚焦提升办学质量这一核心，不断深化改革，持续推进创新。一是以县级党校分类建设为重点，提升党校整体发展水平。。二是以联合共建四川长征干部学院为契机，打造干部教育培训“红色殿堂”。三是以办学质量评估为抓手，推动标准化建设、规范化运行。坚持从严治校，在加强自身建设、树立良好形象上取得新进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 坚持把严的要求、严的标准、严的措施贯穿始终，构建立体式、广覆盖的管理体系，推进从严治校常态化。一是抓党建引领筑牢战斗堡垒。二是抓党风廉政建设营造风清气正政治生态。三是抓施教治学树立优良校风学风。</w:t>
      </w:r>
    </w:p>
    <w:p>
      <w:pPr>
        <w:spacing w:line="580" w:lineRule="exact"/>
        <w:ind w:firstLine="640" w:firstLineChars="200"/>
        <w:rPr>
          <w:rFonts w:hint="eastAsia"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（一）评价结论</w:t>
      </w:r>
      <w:r>
        <w:rPr>
          <w:rFonts w:hint="eastAsia" w:ascii="仿宋" w:hAnsi="仿宋" w:eastAsia="仿宋" w:cs="仿宋_GB2312"/>
          <w:sz w:val="32"/>
          <w:szCs w:val="32"/>
        </w:rPr>
        <w:t xml:space="preserve">    </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2020年部门整体支出总体平稳，特别是专项项目作为我校基本支出的有力补充，为我校教学科研的开展及学校各项工作的正常运行提供了资金保障。使我校2020年的各项工作取得了优异的成绩。但也存在一些不足，需要进一步改进。</w:t>
      </w:r>
    </w:p>
    <w:p>
      <w:pPr>
        <w:pStyle w:val="2"/>
      </w:pPr>
    </w:p>
    <w:p>
      <w:pPr>
        <w:spacing w:line="58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1、在预算执行过程中，由于受非税收入进度的制约，所申报专项计划有时不能吻合实际支出需求。</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2、是在部门整体支出的资金安排和使用上仍有不可预见性，会出现一些意料不到的状况，导致预算执行管理不够严格。在科学设置预算项目上还需进一步加强，使之更加贴合工作的实际。</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 财务管理水平还有待提高。</w:t>
      </w: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hint="eastAsia" w:ascii="仿宋" w:hAnsi="仿宋" w:eastAsia="仿宋" w:cs="仿宋_GB2312"/>
          <w:b/>
          <w:bCs/>
          <w:sz w:val="32"/>
          <w:szCs w:val="32"/>
        </w:rPr>
      </w:pPr>
      <w:r>
        <w:rPr>
          <w:rFonts w:hint="eastAsia" w:ascii="仿宋" w:hAnsi="仿宋" w:eastAsia="仿宋" w:cs="仿宋_GB2312"/>
          <w:sz w:val="32"/>
          <w:szCs w:val="32"/>
          <w:lang w:eastAsia="zh-CN"/>
        </w:rPr>
        <w:t>（三）</w:t>
      </w:r>
      <w:r>
        <w:rPr>
          <w:rFonts w:hint="eastAsia" w:ascii="仿宋" w:hAnsi="仿宋" w:eastAsia="仿宋" w:cs="仿宋_GB2312"/>
          <w:b/>
          <w:bCs/>
          <w:sz w:val="32"/>
          <w:szCs w:val="32"/>
        </w:rPr>
        <w:t>改进建议</w:t>
      </w:r>
    </w:p>
    <w:p>
      <w:pPr>
        <w:numPr>
          <w:ilvl w:val="0"/>
          <w:numId w:val="0"/>
        </w:num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进一步增强依法理财意识，提升财务管理法制化、规范化、精细化水平。</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2、加强业务知识培训，不断更新知识、拓展技能，提升职业道德和业务素质。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3、我校公用经费系数较低，建议作适当调整。</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4、近年来，我校教学科研工作成果丰硕，在全省党校系统名列前茅，离不开州财政的大力支持，希望州财政进一步加大支持力度，把我校的的科研及教师培训经费作适当调整。</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5、部门整体绩效评价工作是一项长期性的工作，专业性强，工作量大，建议财政部门进一步加强开展相关的业务工作培训，注重对单位的督促指导，推进绩效评价工作的开展。</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6、在部门整体支出中，对于偶然出现的突发状况，根据实际情况可以进行科目间适当的调剂使用。</w:t>
      </w:r>
    </w:p>
    <w:p>
      <w:pPr>
        <w:spacing w:line="580" w:lineRule="exact"/>
        <w:ind w:firstLine="640" w:firstLineChars="200"/>
        <w:rPr>
          <w:rFonts w:hint="eastAsia" w:ascii="仿宋" w:hAnsi="仿宋" w:eastAsia="仿宋" w:cs="仿宋_GB2312"/>
          <w:sz w:val="32"/>
          <w:szCs w:val="32"/>
        </w:rPr>
      </w:pPr>
    </w:p>
    <w:p>
      <w:pPr>
        <w:adjustRightInd w:val="0"/>
        <w:snapToGrid w:val="0"/>
        <w:spacing w:line="560" w:lineRule="exact"/>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rPr>
        <w:t xml:space="preserve">                                                                                                                                                                                                                                                                                                                                                                                                                                                                                                                                                                                                                                                                                                                                                                                                                                                                                                                                                                                                                                                                                                                                                                                                                                                                                                                                                                                                                                                                                                                                                                                                                                                                                                                                                                                                                                                                                                                                                                                                                                                                                                                                                                                                                                                                                                                                                                                                                                                                                                                                                                                                                                                                                                                                                                                                                                                                                                                                                                                                                                                                                                                                                                                                                                                                                                                                                                                                                                                                                                                                                                                                                                                                                                                                                                                                                                                                                                                                                                                                                                                                                                                                                                          </w:t>
      </w:r>
    </w:p>
    <w:p>
      <w:pPr>
        <w:adjustRightInd w:val="0"/>
        <w:snapToGrid w:val="0"/>
        <w:spacing w:line="560" w:lineRule="exact"/>
        <w:rPr>
          <w:rFonts w:asciiTheme="minorEastAsia" w:hAnsiTheme="minorEastAsia" w:eastAsiaTheme="minorEastAsia"/>
        </w:rPr>
      </w:pPr>
    </w:p>
    <w:p>
      <w:pPr>
        <w:adjustRightInd w:val="0"/>
        <w:snapToGrid w:val="0"/>
        <w:spacing w:line="360" w:lineRule="auto"/>
        <w:rPr>
          <w:rFonts w:asciiTheme="minorEastAsia" w:hAnsiTheme="minorEastAsia" w:eastAsiaTheme="minorEastAsia"/>
        </w:rPr>
      </w:pPr>
    </w:p>
    <w:p>
      <w:pPr>
        <w:spacing w:line="580" w:lineRule="exact"/>
        <w:ind w:firstLine="2304" w:firstLineChars="720"/>
        <w:jc w:val="center"/>
        <w:rPr>
          <w:rFonts w:hint="eastAsia" w:ascii="仿宋" w:hAnsi="仿宋" w:eastAsia="仿宋" w:cs="仿宋_GB2312"/>
          <w:sz w:val="32"/>
          <w:szCs w:val="32"/>
        </w:rPr>
      </w:pPr>
      <w:r>
        <w:rPr>
          <w:rFonts w:hint="eastAsia" w:ascii="仿宋" w:hAnsi="仿宋" w:eastAsia="仿宋" w:cs="仿宋_GB2312"/>
          <w:sz w:val="32"/>
          <w:szCs w:val="32"/>
        </w:rPr>
        <w:t>中共凉山彝族自治州委党校</w:t>
      </w:r>
    </w:p>
    <w:p>
      <w:pPr>
        <w:spacing w:line="580" w:lineRule="exact"/>
        <w:ind w:firstLine="2720" w:firstLineChars="850"/>
        <w:jc w:val="center"/>
        <w:rPr>
          <w:rFonts w:hint="eastAsia" w:ascii="仿宋" w:hAnsi="仿宋" w:eastAsia="仿宋" w:cs="仿宋_GB2312"/>
          <w:sz w:val="32"/>
          <w:szCs w:val="32"/>
        </w:rPr>
      </w:pPr>
      <w:r>
        <w:rPr>
          <w:rFonts w:hint="eastAsia" w:ascii="仿宋" w:hAnsi="仿宋" w:eastAsia="仿宋" w:cs="仿宋_GB2312"/>
          <w:sz w:val="32"/>
          <w:szCs w:val="32"/>
        </w:rPr>
        <w:t>2021年1月21日</w:t>
      </w:r>
    </w:p>
    <w:p>
      <w:pPr>
        <w:pStyle w:val="2"/>
        <w:ind w:left="0" w:leftChars="0" w:firstLine="0" w:firstLineChars="0"/>
        <w:rPr>
          <w:rFonts w:ascii="仿宋_GB2312" w:hAnsi="仿宋_GB2312" w:eastAsia="仿宋_GB2312" w:cs="仿宋_GB2312"/>
          <w:sz w:val="32"/>
          <w:szCs w:val="32"/>
        </w:rPr>
      </w:pPr>
    </w:p>
    <w:p>
      <w:pPr>
        <w:rPr>
          <w:rStyle w:val="26"/>
          <w:rFonts w:hint="eastAsia" w:ascii="仿宋" w:hAnsi="仿宋" w:eastAsia="仿宋"/>
          <w:b w:val="0"/>
          <w:bCs w:val="0"/>
          <w:sz w:val="32"/>
          <w:szCs w:val="32"/>
        </w:rPr>
      </w:pPr>
      <w:bookmarkStart w:id="60" w:name="_Toc15396617"/>
      <w:r>
        <w:rPr>
          <w:rStyle w:val="26"/>
          <w:rFonts w:hint="eastAsia" w:ascii="仿宋" w:hAnsi="仿宋" w:eastAsia="仿宋"/>
          <w:b w:val="0"/>
          <w:bCs w:val="0"/>
          <w:sz w:val="32"/>
          <w:szCs w:val="32"/>
        </w:rPr>
        <w:br w:type="page"/>
      </w:r>
    </w:p>
    <w:p>
      <w:pPr>
        <w:pStyle w:val="4"/>
        <w:rPr>
          <w:rStyle w:val="26"/>
          <w:rFonts w:ascii="仿宋" w:hAnsi="仿宋" w:eastAsia="仿宋"/>
          <w:b w:val="0"/>
          <w:bCs w:val="0"/>
          <w:sz w:val="32"/>
          <w:szCs w:val="32"/>
        </w:rPr>
      </w:pPr>
      <w:r>
        <w:rPr>
          <w:rStyle w:val="26"/>
          <w:rFonts w:hint="eastAsia" w:ascii="仿宋" w:hAnsi="仿宋" w:eastAsia="仿宋"/>
          <w:b w:val="0"/>
          <w:bCs w:val="0"/>
          <w:sz w:val="32"/>
          <w:szCs w:val="32"/>
        </w:rPr>
        <w:t>附件2</w:t>
      </w:r>
      <w:bookmarkEnd w:id="60"/>
    </w:p>
    <w:p>
      <w:pPr>
        <w:pStyle w:val="38"/>
        <w:spacing w:line="560" w:lineRule="exact"/>
        <w:jc w:val="center"/>
        <w:rPr>
          <w:rFonts w:hint="eastAsia" w:ascii="黑体" w:hAnsi="黑体" w:eastAsia="黑体" w:cs="方正小标宋简体"/>
          <w:color w:val="auto"/>
          <w:kern w:val="2"/>
          <w:sz w:val="36"/>
          <w:szCs w:val="36"/>
          <w:lang w:val="en-US" w:eastAsia="zh-CN" w:bidi="ar-SA"/>
        </w:rPr>
      </w:pPr>
      <w:r>
        <w:rPr>
          <w:rFonts w:hint="eastAsia" w:ascii="黑体" w:hAnsi="黑体" w:eastAsia="黑体" w:cs="方正小标宋简体"/>
          <w:color w:val="auto"/>
          <w:kern w:val="2"/>
          <w:sz w:val="36"/>
          <w:szCs w:val="36"/>
          <w:lang w:val="en-US" w:eastAsia="zh-CN" w:bidi="ar-SA"/>
        </w:rPr>
        <w:t>中共凉山彝族自治州委党校</w:t>
      </w:r>
    </w:p>
    <w:p>
      <w:pPr>
        <w:pStyle w:val="38"/>
        <w:spacing w:line="560" w:lineRule="exact"/>
        <w:jc w:val="center"/>
        <w:rPr>
          <w:rFonts w:hint="eastAsia" w:ascii="黑体" w:hAnsi="黑体" w:eastAsia="黑体" w:cs="方正小标宋简体"/>
          <w:color w:val="auto"/>
          <w:kern w:val="2"/>
          <w:sz w:val="36"/>
          <w:szCs w:val="36"/>
          <w:lang w:val="en-US" w:eastAsia="zh-CN" w:bidi="ar-SA"/>
        </w:rPr>
      </w:pPr>
      <w:r>
        <w:rPr>
          <w:rFonts w:hint="eastAsia" w:ascii="黑体" w:hAnsi="黑体" w:eastAsia="黑体" w:cs="方正小标宋简体"/>
          <w:color w:val="auto"/>
          <w:kern w:val="2"/>
          <w:sz w:val="36"/>
          <w:szCs w:val="36"/>
          <w:lang w:val="en-US" w:eastAsia="zh-CN" w:bidi="ar-SA"/>
        </w:rPr>
        <w:t>2020年度项目支出绩效自评报告</w:t>
      </w:r>
    </w:p>
    <w:p>
      <w:pPr>
        <w:pStyle w:val="38"/>
        <w:spacing w:line="560" w:lineRule="exact"/>
        <w:ind w:firstLine="640"/>
        <w:jc w:val="center"/>
        <w:rPr>
          <w:rFonts w:ascii="宋体"/>
          <w:color w:val="auto"/>
          <w:kern w:val="2"/>
          <w:sz w:val="32"/>
          <w:szCs w:val="32"/>
        </w:rPr>
      </w:pPr>
    </w:p>
    <w:p>
      <w:pPr>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pStyle w:val="38"/>
        <w:spacing w:line="560" w:lineRule="exact"/>
        <w:ind w:firstLine="640" w:firstLineChars="200"/>
        <w:jc w:val="left"/>
        <w:rPr>
          <w:rFonts w:hint="eastAsia" w:ascii="仿宋" w:hAnsi="仿宋" w:eastAsia="仿宋_GB2312" w:cs="仿宋_GB2312"/>
          <w:sz w:val="32"/>
          <w:szCs w:val="32"/>
          <w:lang w:val="zh-CN" w:eastAsia="zh-CN"/>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“艾</w:t>
      </w:r>
      <w:r>
        <w:rPr>
          <w:rFonts w:hint="eastAsia" w:ascii="仿宋_GB2312" w:hAnsi="仿宋_GB2312" w:eastAsia="仿宋_GB2312" w:cs="仿宋_GB2312"/>
          <w:sz w:val="32"/>
          <w:szCs w:val="32"/>
        </w:rPr>
        <w:t>滋病防治项目州级补助资金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省级科技计划项目经费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弘扬长征精神党性教育培训经费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科研课题及教师培训经费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弥补干部教育培训保障经费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干部教育和培训保障经费</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6个</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，项目基本情况如下：</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1、艾滋病防治项目州级补助资金：年初预算数3万元（上年财政应返还额度），2020年12月，财政追加3万元，批复金额合计6万元。</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2、省级科技计划项目经费：2020年8月由财政追加预算5万元。</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3、弘扬长征精神党性教育培训经费：2020年6月由四川省委组织部拨入经费200万元。</w:t>
      </w:r>
    </w:p>
    <w:p>
      <w:pPr>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4、科研课题及教师培训经费：</w:t>
      </w:r>
      <w:r>
        <w:rPr>
          <w:rFonts w:hint="eastAsia" w:ascii="仿宋" w:hAnsi="仿宋" w:eastAsia="仿宋" w:cs="仿宋_GB2312"/>
          <w:sz w:val="32"/>
          <w:szCs w:val="32"/>
        </w:rPr>
        <w:t>项目年初预算数35万元，批复金额35万元。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zh-CN"/>
        </w:rPr>
        <w:t>5、弥补干部教育培训保障经费：</w:t>
      </w:r>
      <w:r>
        <w:rPr>
          <w:rFonts w:hint="eastAsia" w:ascii="仿宋" w:hAnsi="仿宋" w:eastAsia="仿宋" w:cs="仿宋_GB2312"/>
          <w:sz w:val="32"/>
          <w:szCs w:val="32"/>
        </w:rPr>
        <w:t>项目年初预算数133.22万元，资金来源为我单位的非税收入，批复金额133.22万元。历年滚存的事业基金等存量资金结转32.44万元，上年财政专户结转12.62万元（年初财政调整结转数，扣减2019年专户超支指标6.08万元）；年末据凉财教[2020]192号文件，将非税自筹事业人员目标奖7.6万元调整到本项目使用；财政收回结余资金10.81万元。调整后的预算数为168.99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zh-CN"/>
        </w:rPr>
        <w:t>6、干部教育和培训保障经费：</w:t>
      </w:r>
      <w:r>
        <w:rPr>
          <w:rFonts w:hint="eastAsia" w:ascii="仿宋" w:hAnsi="仿宋" w:eastAsia="仿宋" w:cs="仿宋_GB2312"/>
          <w:sz w:val="32"/>
          <w:szCs w:val="32"/>
        </w:rPr>
        <w:t>项目年初预算数101.31万元，预算批复金额101.31万元。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1、艾滋病防治项目州级补助资金</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zh-CN"/>
        </w:rPr>
        <w:t>通过“艾滋病防治项目州级补助资金”项目的实施，开展了</w:t>
      </w:r>
      <w:r>
        <w:rPr>
          <w:rFonts w:hint="eastAsia" w:ascii="仿宋" w:hAnsi="仿宋" w:eastAsia="仿宋" w:cs="仿宋_GB2312"/>
          <w:sz w:val="32"/>
          <w:szCs w:val="32"/>
        </w:rPr>
        <w:t>县级班、初任公务员培训班、凉山州卫生健康管理与公共卫生事件处置专题培训班、国有企业高层次经营管理者专题培训班等班次的</w:t>
      </w:r>
      <w:r>
        <w:rPr>
          <w:rFonts w:hint="eastAsia" w:ascii="仿宋" w:hAnsi="仿宋" w:eastAsia="仿宋" w:cs="仿宋_GB2312"/>
          <w:sz w:val="32"/>
          <w:szCs w:val="32"/>
          <w:lang w:val="zh-CN"/>
        </w:rPr>
        <w:t>艾滋病防治知识及政策培训，提高了各级干部对艾滋病防治知识的知晓率。</w:t>
      </w:r>
      <w:r>
        <w:rPr>
          <w:rFonts w:hint="eastAsia" w:ascii="仿宋" w:hAnsi="仿宋" w:eastAsia="仿宋" w:cs="仿宋_GB2312"/>
          <w:sz w:val="32"/>
          <w:szCs w:val="32"/>
        </w:rPr>
        <w:t>项目全年预算数6万元，执行数为3.89万元，完成预算的64.83%，结转下年2.11万元。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2、省级科技计划项目经费</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rPr>
        <w:t>《协商民主在四川凉山彝区乡村治理中的制度化实践创新研究》课题为省级科技计划项目经费，共计5万元。</w:t>
      </w:r>
      <w:r>
        <w:rPr>
          <w:rFonts w:hint="eastAsia" w:ascii="仿宋" w:hAnsi="仿宋" w:eastAsia="仿宋" w:cs="仿宋_GB2312"/>
          <w:sz w:val="32"/>
          <w:szCs w:val="32"/>
          <w:lang w:val="zh-CN"/>
        </w:rPr>
        <w:t>本年支出租车费0.99万元，会议费0.16万元，资料费0.21万元，调研差旅费0.78万元，小计2.14万元；因课题未结项，所以结转下年2.86万元，预计2021年10月完成。</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3、弘扬长征精神党性教育培训经费</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2020年6月四川省委组织部拨入“弘扬长征精神党性教育培训班”经费200万元，</w:t>
      </w:r>
      <w:r>
        <w:rPr>
          <w:rFonts w:hint="eastAsia" w:ascii="仿宋" w:hAnsi="仿宋" w:eastAsia="仿宋" w:cs="仿宋_GB2312"/>
          <w:sz w:val="32"/>
          <w:szCs w:val="32"/>
          <w:lang w:val="zh-CN"/>
        </w:rPr>
        <w:t>本年支出59.06万元。举办的</w:t>
      </w:r>
      <w:r>
        <w:rPr>
          <w:rFonts w:hint="eastAsia" w:ascii="仿宋" w:hAnsi="仿宋" w:eastAsia="仿宋" w:cs="仿宋_GB2312"/>
          <w:sz w:val="32"/>
          <w:szCs w:val="32"/>
        </w:rPr>
        <w:t>班次有：全州易地扶贫搬迁集中安置点治理工作专题培训班；全州新成立乡村党组织书记重点培训班；全州非公经济组织和社会组织党建引领城乡基层治理工作示范培训班；全州党校系统师资培训班；长征干部学院彝海结盟分院示范班及模拟班；全州农村党员骨干重点培训班，参训人员500余人次。</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通过培训，教育和引导广大党员干部发扬革命传统、传承红色基因，党员干部坚定了理想信念、加强了党性修养，为推动治蜀兴川再上新台阶提供了强大精神动力。</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rPr>
        <w:t>年末结转140.94万元，于下一年度继续使用（其中</w:t>
      </w:r>
      <w:r>
        <w:rPr>
          <w:rFonts w:ascii="仿宋" w:hAnsi="仿宋" w:eastAsia="仿宋" w:cs="仿宋_GB2312"/>
          <w:sz w:val="32"/>
          <w:szCs w:val="32"/>
        </w:rPr>
        <w:t>党性教育培训教材购置经费60万元</w:t>
      </w:r>
      <w:r>
        <w:rPr>
          <w:rFonts w:hint="eastAsia" w:ascii="仿宋" w:hAnsi="仿宋" w:eastAsia="仿宋" w:cs="仿宋_GB2312"/>
          <w:sz w:val="32"/>
          <w:szCs w:val="32"/>
        </w:rPr>
        <w:t>，已经进入政府采购流程，预计采购图书10000余册）。</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4、科研课题及教师培训经费</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项目全年执行数为35万元，完成预算的100%。</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项目的实施，我单位专业技术教师聚焦党委政府中心工作、重大决策部署、社会热点难点问题开展深入研究，申报各类课题20项，立项15项，其中省级课题1项，地厅级课题11项，《凉山彝区狠抓基层党建助推脱贫攻坚的探索与实践》获2020年度重大课题市州项目一等奖，《可行能力视角下凉山彝区贫困代际传递机制研究》立项10个重大研究项目市州项目之一，与省委党校合作的2项科研成果在省委办公厅《每日要情》刊载。积极参加学术研讨和理论征文活动，发表学术论文34篇，提交论文14篇，其中3篇入选“从脱贫攻坚到全面建成小康社会的四川之路”研讨会论文集，1篇入选“成渝地区双城经济圈建设的理论与实践研究”理论研讨会。</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2020年度出版季刊《凉山党校》4期，聘请四川省委党校郭伟教授及储连伟教授指导长征干部学院课程“红军长征过凉山”的打造工作，调研长征干部学院办学情况，高质量推进四川长征干部学院凉山彝海结盟分院建设。</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搭建平台强化内力，举办全州党校系统青年教师教学竞赛，从课件质量、授课技巧、授课内容、教姿教态等方面有效提升授课质量，遴选17名青年教师进入师资库；选派教师50余人次到中国延安干部学院、省委党校等地学习，增加知识储备，提升教学能力；举办全州党校系统师资培训班，共培训教师71名；3名青年教师入选凉山州第十批学术和技术带头人后备人选。</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5、弥补干部教育培训保障经费</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项目批复金额133.22万元。来源为我单位的非税收入。调整后的预算数为168.99万元，</w:t>
      </w:r>
      <w:r>
        <w:rPr>
          <w:rFonts w:hint="eastAsia" w:ascii="仿宋" w:hAnsi="仿宋" w:eastAsia="仿宋" w:cs="仿宋_GB2312"/>
          <w:sz w:val="32"/>
          <w:szCs w:val="32"/>
          <w:lang w:val="zh-CN"/>
        </w:rPr>
        <w:t>全年支出数152.91万元，</w:t>
      </w:r>
      <w:r>
        <w:rPr>
          <w:rFonts w:hint="eastAsia" w:ascii="仿宋" w:hAnsi="仿宋" w:eastAsia="仿宋" w:cs="仿宋_GB2312"/>
          <w:sz w:val="32"/>
          <w:szCs w:val="32"/>
        </w:rPr>
        <w:t>支付进度90%，节约资金10.81万元（财政已收回），结转政府采购资金16.08万元。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zh-CN"/>
        </w:rPr>
        <w:t>通过项目的实施，我单位管理服务不断提升。政务工作更加规范，公文处理、档案管理、保密管理、财务管理等各项工作高效运转；老干部工作成效显著，1人被评为省级离退休干部先进个人；信息化建设更加完善，制定智慧校园建设规划，圆满完成22场拟任县处级领导干部任职资格政治理论水平考试；</w:t>
      </w:r>
      <w:r>
        <w:rPr>
          <w:rFonts w:hint="eastAsia" w:ascii="仿宋" w:hAnsi="仿宋" w:eastAsia="仿宋" w:cs="仿宋_GB2312"/>
          <w:sz w:val="32"/>
          <w:szCs w:val="32"/>
        </w:rPr>
        <w:t>经过政府采购程序，购置二教室家具（礼堂椅105张，书写板96张，会议椅6把，会议条桌3张），计划数10.42万元，实际支出10.24万元，节约0.18万元，节约比例2%；购置电子设备（笔记本电脑4台，数码相机1台，路由器1台），计划数3.58万元，实际支出3.4万元，节约0.18万元，节约比例5%。非政府采购项目，通过询价、B选等流程，采购了《四川年鉴》2本，长征干部学院教学设备音箱讲解器等4.14万元，为举办长征干部学院彝海结盟分院的示范班和模拟班做好准备。全年资本性支出共计18.22万元。</w:t>
      </w:r>
      <w:r>
        <w:rPr>
          <w:rFonts w:hint="eastAsia" w:ascii="仿宋" w:hAnsi="仿宋" w:eastAsia="仿宋" w:cs="仿宋_GB2312"/>
          <w:sz w:val="32"/>
          <w:szCs w:val="32"/>
          <w:lang w:val="zh-CN"/>
        </w:rPr>
        <w:t>后勤保障更加有力，全年投入40余万进行教室改造、设备维修、环境整治，顺利通过第五届省级精神文明单位复查验收；作为首批试点积极开展节约型机关创建，抓实抓细疫情防控、森林草原防灭火等工作，营造平安和谐校园环境。</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6、干部教育和培训保障经费</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项目全年执行数为77.11万元，完成预算的76.11%，剩余金额24.20万元结转下年使用。（结转下年的资金为政府采购图书专项经费，已经备案并报送给政府采购中心，进入了政府采购流程）。</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全年共举办各级各类轮训培训班31期，轮训培训干部2604人次，其中主体班8期，轮训培训干部540人次，其他各类专题培训班18期，轮训培训干部1862人次；统筹承办县级党校主体班5期，培训干部202人次。</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zh-CN"/>
        </w:rPr>
        <w:t>抓好在职研究生教育，克服疫情防控压力，圆满完成凉山考点1000余名考生考试工作，录取法学专业新生84名。</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项目实施，确保了我校各项工作顺利开展，我校坚持以习近平总书记关于党校办学治校系列重要指示精神为指导，牢牢把握党校姓党根本原则，以贯彻落实《中国共产党党校（行政学院）工作条例》为契机，以县级党校分类建设、联合共建四川长征干部学院为抓手，充分发挥干部培训、思想引领、理论建设、决策咨询作用，不断提升党校办学质量水平，为培养造就忠诚干净担当的高素质专业化干部队伍、推动凉山脱贫奔康转型发展作出积极贡献。</w:t>
      </w:r>
    </w:p>
    <w:p>
      <w:pPr>
        <w:spacing w:line="580" w:lineRule="exact"/>
        <w:ind w:firstLine="640" w:firstLineChars="200"/>
        <w:rPr>
          <w:rFonts w:ascii="仿宋" w:hAnsi="仿宋" w:eastAsia="仿宋" w:cs="仿宋_GB2312"/>
          <w:sz w:val="32"/>
          <w:szCs w:val="32"/>
          <w:lang w:val="zh-CN"/>
        </w:rPr>
      </w:pP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eastAsia="zh-CN"/>
        </w:rPr>
        <w:t>三、</w:t>
      </w:r>
      <w:r>
        <w:rPr>
          <w:rFonts w:hint="eastAsia" w:ascii="仿宋" w:hAnsi="仿宋" w:eastAsia="仿宋" w:cs="仿宋_GB2312"/>
          <w:sz w:val="32"/>
          <w:szCs w:val="32"/>
          <w:lang w:val="zh-CN"/>
        </w:rPr>
        <w:t>存在主要问题。</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因为新冠肺炎疫情的影响，2020年度项目预算执行存在收支进度缓慢的情况；再加上认真落实州委州政府脱贫攻坚工作部署，所有帮扶干部每月需驻村帮扶3-5天，所以脱贫攻坚工作相关的经费需求大幅上涨，年中将部门预算绩效奖自筹部分调整为相关经费后还无法满足，还调剂了其他经费的结余资金使用。个别政府采购预算项目执行进度缓慢。</w:t>
      </w:r>
    </w:p>
    <w:p>
      <w:pPr>
        <w:pStyle w:val="2"/>
        <w:rPr>
          <w:rFonts w:hint="eastAsia"/>
          <w:lang w:val="zh-CN"/>
        </w:rPr>
      </w:pP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四、相关措施建议。</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无</w:t>
      </w:r>
      <w:r>
        <w:rPr>
          <w:rFonts w:hint="eastAsia" w:ascii="仿宋" w:hAnsi="仿宋" w:eastAsia="仿宋" w:cs="仿宋_GB2312"/>
          <w:sz w:val="32"/>
          <w:szCs w:val="32"/>
          <w:lang w:eastAsia="zh-CN"/>
        </w:rPr>
        <w:t>。</w:t>
      </w:r>
    </w:p>
    <w:p>
      <w:pPr>
        <w:spacing w:line="580" w:lineRule="exact"/>
        <w:ind w:firstLine="640" w:firstLineChars="200"/>
        <w:rPr>
          <w:rFonts w:hint="eastAsia" w:ascii="仿宋" w:hAnsi="仿宋" w:eastAsia="仿宋" w:cs="仿宋_GB2312"/>
          <w:sz w:val="32"/>
          <w:szCs w:val="32"/>
        </w:rPr>
      </w:pPr>
    </w:p>
    <w:p>
      <w:pPr>
        <w:spacing w:line="580" w:lineRule="exact"/>
        <w:ind w:firstLine="4800" w:firstLineChars="1500"/>
        <w:jc w:val="center"/>
        <w:rPr>
          <w:rFonts w:hint="eastAsia" w:ascii="仿宋" w:hAnsi="仿宋" w:eastAsia="仿宋" w:cs="仿宋_GB2312"/>
          <w:sz w:val="32"/>
          <w:szCs w:val="32"/>
        </w:rPr>
      </w:pPr>
      <w:r>
        <w:rPr>
          <w:rFonts w:hint="eastAsia" w:ascii="仿宋" w:hAnsi="仿宋" w:eastAsia="仿宋" w:cs="仿宋_GB2312"/>
          <w:sz w:val="32"/>
          <w:szCs w:val="32"/>
        </w:rPr>
        <w:t>中共凉山彝族自治州委党校</w:t>
      </w:r>
    </w:p>
    <w:p>
      <w:pPr>
        <w:spacing w:line="580" w:lineRule="exact"/>
        <w:ind w:firstLine="4800" w:firstLineChars="1500"/>
        <w:jc w:val="center"/>
        <w:rPr>
          <w:rFonts w:ascii="仿宋" w:hAnsi="仿宋" w:eastAsia="仿宋" w:cs="仿宋_GB2312"/>
          <w:sz w:val="32"/>
          <w:szCs w:val="32"/>
        </w:rPr>
      </w:pPr>
      <w:r>
        <w:rPr>
          <w:rFonts w:ascii="仿宋" w:hAnsi="仿宋" w:eastAsia="仿宋" w:cs="仿宋_GB2312"/>
          <w:sz w:val="32"/>
          <w:szCs w:val="32"/>
        </w:rPr>
        <w:t>2021年7月</w:t>
      </w:r>
      <w:r>
        <w:rPr>
          <w:rFonts w:hint="eastAsia" w:ascii="仿宋" w:hAnsi="仿宋" w:eastAsia="仿宋" w:cs="仿宋_GB2312"/>
          <w:sz w:val="32"/>
          <w:szCs w:val="32"/>
        </w:rPr>
        <w:t>12</w:t>
      </w:r>
      <w:r>
        <w:rPr>
          <w:rFonts w:ascii="仿宋" w:hAnsi="仿宋" w:eastAsia="仿宋" w:cs="仿宋_GB2312"/>
          <w:sz w:val="32"/>
          <w:szCs w:val="32"/>
        </w:rPr>
        <w:t>日</w:t>
      </w:r>
    </w:p>
    <w:p>
      <w:pPr>
        <w:rPr>
          <w:rFonts w:ascii="仿宋" w:hAnsi="仿宋" w:eastAsia="仿宋" w:cs="仿宋_GB2312"/>
          <w:sz w:val="32"/>
          <w:szCs w:val="32"/>
        </w:rPr>
      </w:pPr>
      <w:r>
        <w:rPr>
          <w:rFonts w:ascii="仿宋" w:hAnsi="仿宋" w:eastAsia="仿宋" w:cs="仿宋_GB2312"/>
          <w:sz w:val="32"/>
          <w:szCs w:val="32"/>
        </w:rPr>
        <w:br w:type="page"/>
      </w:r>
    </w:p>
    <w:p>
      <w:pPr>
        <w:spacing w:line="600" w:lineRule="exact"/>
        <w:jc w:val="center"/>
        <w:outlineLvl w:val="0"/>
        <w:rPr>
          <w:rStyle w:val="26"/>
          <w:rFonts w:ascii="黑体" w:hAnsi="黑体" w:eastAsia="黑体"/>
          <w:b w:val="0"/>
        </w:rPr>
      </w:pPr>
      <w:bookmarkStart w:id="61"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2"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2"/>
    </w:p>
    <w:p>
      <w:pPr>
        <w:pStyle w:val="4"/>
        <w:rPr>
          <w:rFonts w:ascii="仿宋" w:hAnsi="仿宋" w:eastAsia="仿宋"/>
          <w:color w:val="000000"/>
        </w:rPr>
      </w:pPr>
      <w:bookmarkStart w:id="63" w:name="_Toc15396620"/>
      <w:r>
        <w:rPr>
          <w:rFonts w:hint="eastAsia" w:ascii="仿宋" w:hAnsi="仿宋" w:eastAsia="仿宋"/>
          <w:b w:val="0"/>
          <w:color w:val="000000"/>
        </w:rPr>
        <w:t>二、收</w:t>
      </w:r>
      <w:r>
        <w:rPr>
          <w:rStyle w:val="27"/>
          <w:rFonts w:hint="eastAsia" w:ascii="仿宋" w:hAnsi="仿宋" w:eastAsia="仿宋"/>
          <w:b w:val="0"/>
          <w:bCs w:val="0"/>
        </w:rPr>
        <w:t>入</w:t>
      </w:r>
      <w:r>
        <w:rPr>
          <w:rStyle w:val="27"/>
          <w:rFonts w:hint="eastAsia" w:ascii="仿宋" w:hAnsi="仿宋" w:eastAsia="仿宋"/>
          <w:b w:val="0"/>
          <w:bCs w:val="0"/>
          <w:lang w:eastAsia="zh-CN"/>
        </w:rPr>
        <w:t>决算</w:t>
      </w:r>
      <w:r>
        <w:rPr>
          <w:rStyle w:val="27"/>
          <w:rFonts w:hint="eastAsia" w:ascii="仿宋" w:hAnsi="仿宋" w:eastAsia="仿宋"/>
          <w:b w:val="0"/>
          <w:bCs w:val="0"/>
        </w:rPr>
        <w:t>表</w:t>
      </w:r>
      <w:bookmarkEnd w:id="63"/>
    </w:p>
    <w:p>
      <w:pPr>
        <w:pStyle w:val="4"/>
        <w:rPr>
          <w:rFonts w:ascii="仿宋" w:hAnsi="仿宋" w:eastAsia="仿宋"/>
          <w:color w:val="000000"/>
        </w:rPr>
      </w:pPr>
      <w:bookmarkStart w:id="64"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w:t>
      </w:r>
      <w:r>
        <w:rPr>
          <w:rStyle w:val="27"/>
          <w:rFonts w:hint="eastAsia" w:ascii="仿宋" w:hAnsi="仿宋" w:eastAsia="仿宋"/>
          <w:b w:val="0"/>
          <w:bCs w:val="0"/>
          <w:lang w:eastAsia="zh-CN"/>
        </w:rPr>
        <w:t>决算</w:t>
      </w:r>
      <w:r>
        <w:rPr>
          <w:rStyle w:val="27"/>
          <w:rFonts w:hint="eastAsia" w:ascii="仿宋" w:hAnsi="仿宋" w:eastAsia="仿宋"/>
          <w:b w:val="0"/>
          <w:bCs w:val="0"/>
        </w:rPr>
        <w:t>表</w:t>
      </w:r>
      <w:bookmarkEnd w:id="64"/>
    </w:p>
    <w:p>
      <w:pPr>
        <w:pStyle w:val="4"/>
        <w:rPr>
          <w:rFonts w:ascii="仿宋" w:hAnsi="仿宋" w:eastAsia="仿宋"/>
          <w:b w:val="0"/>
          <w:color w:val="000000"/>
        </w:rPr>
      </w:pPr>
      <w:bookmarkStart w:id="65"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5"/>
    </w:p>
    <w:p>
      <w:pPr>
        <w:pStyle w:val="4"/>
        <w:rPr>
          <w:rFonts w:ascii="仿宋" w:hAnsi="仿宋" w:eastAsia="仿宋"/>
          <w:color w:val="000000"/>
        </w:rPr>
      </w:pPr>
      <w:bookmarkStart w:id="66"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6"/>
    </w:p>
    <w:p>
      <w:pPr>
        <w:pStyle w:val="4"/>
        <w:rPr>
          <w:rFonts w:ascii="仿宋" w:hAnsi="仿宋" w:eastAsia="仿宋"/>
          <w:color w:val="000000"/>
        </w:rPr>
      </w:pPr>
      <w:bookmarkStart w:id="67"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7"/>
    </w:p>
    <w:p>
      <w:pPr>
        <w:pStyle w:val="4"/>
        <w:rPr>
          <w:rFonts w:ascii="仿宋" w:hAnsi="仿宋" w:eastAsia="仿宋"/>
          <w:color w:val="000000"/>
        </w:rPr>
      </w:pPr>
      <w:bookmarkStart w:id="68"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8"/>
    </w:p>
    <w:p>
      <w:pPr>
        <w:pStyle w:val="4"/>
        <w:rPr>
          <w:rFonts w:ascii="仿宋" w:hAnsi="仿宋" w:eastAsia="仿宋"/>
          <w:color w:val="000000"/>
        </w:rPr>
      </w:pPr>
      <w:bookmarkStart w:id="69"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9"/>
    </w:p>
    <w:p>
      <w:pPr>
        <w:pStyle w:val="4"/>
        <w:rPr>
          <w:rFonts w:ascii="仿宋" w:hAnsi="仿宋" w:eastAsia="仿宋"/>
          <w:color w:val="000000"/>
        </w:rPr>
      </w:pPr>
      <w:bookmarkStart w:id="70"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70"/>
    </w:p>
    <w:p>
      <w:pPr>
        <w:pStyle w:val="4"/>
        <w:rPr>
          <w:rFonts w:ascii="仿宋" w:hAnsi="仿宋" w:eastAsia="仿宋"/>
          <w:color w:val="000000"/>
        </w:rPr>
      </w:pPr>
      <w:bookmarkStart w:id="71"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1"/>
    </w:p>
    <w:p>
      <w:pPr>
        <w:pStyle w:val="4"/>
        <w:rPr>
          <w:rFonts w:ascii="仿宋" w:hAnsi="仿宋" w:eastAsia="仿宋"/>
          <w:color w:val="000000"/>
        </w:rPr>
      </w:pPr>
      <w:bookmarkStart w:id="72"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2"/>
    </w:p>
    <w:p>
      <w:pPr>
        <w:pStyle w:val="4"/>
        <w:rPr>
          <w:rFonts w:ascii="仿宋" w:hAnsi="仿宋" w:eastAsia="仿宋"/>
          <w:color w:val="000000"/>
        </w:rPr>
      </w:pPr>
      <w:bookmarkStart w:id="73"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3"/>
    </w:p>
    <w:p>
      <w:pPr>
        <w:pStyle w:val="4"/>
        <w:rPr>
          <w:rStyle w:val="27"/>
          <w:rFonts w:hint="eastAsia" w:ascii="仿宋" w:hAnsi="仿宋" w:eastAsia="仿宋"/>
          <w:b w:val="0"/>
          <w:bCs w:val="0"/>
        </w:rPr>
      </w:pPr>
      <w:bookmarkStart w:id="74"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w:t>
      </w:r>
      <w:r>
        <w:rPr>
          <w:rStyle w:val="27"/>
          <w:rFonts w:hint="eastAsia" w:ascii="仿宋" w:hAnsi="仿宋" w:eastAsia="仿宋"/>
          <w:b w:val="0"/>
          <w:bCs w:val="0"/>
          <w:lang w:eastAsia="zh-CN"/>
        </w:rPr>
        <w:t>财政拨款收入</w:t>
      </w:r>
      <w:r>
        <w:rPr>
          <w:rStyle w:val="27"/>
          <w:rFonts w:hint="eastAsia" w:ascii="仿宋" w:hAnsi="仿宋" w:eastAsia="仿宋"/>
          <w:b w:val="0"/>
          <w:bCs w:val="0"/>
        </w:rPr>
        <w:t>支出决算表</w:t>
      </w:r>
      <w:bookmarkEnd w:id="74"/>
    </w:p>
    <w:p>
      <w:pPr>
        <w:pStyle w:val="4"/>
        <w:rPr>
          <w:rStyle w:val="27"/>
          <w:rFonts w:hint="eastAsia" w:ascii="仿宋" w:hAnsi="仿宋" w:eastAsia="仿宋"/>
          <w:b w:val="0"/>
          <w:bCs w:val="0"/>
        </w:rPr>
      </w:pPr>
      <w:r>
        <w:rPr>
          <w:rStyle w:val="27"/>
          <w:rFonts w:hint="eastAsia" w:ascii="仿宋" w:hAnsi="仿宋" w:eastAsia="仿宋"/>
          <w:b w:val="0"/>
          <w:bCs w:val="0"/>
        </w:rPr>
        <w:t>十</w:t>
      </w:r>
      <w:r>
        <w:rPr>
          <w:rStyle w:val="27"/>
          <w:rFonts w:hint="eastAsia" w:ascii="仿宋" w:hAnsi="仿宋" w:eastAsia="仿宋"/>
          <w:b w:val="0"/>
          <w:bCs w:val="0"/>
          <w:lang w:eastAsia="zh-CN"/>
        </w:rPr>
        <w:t>四</w:t>
      </w:r>
      <w:r>
        <w:rPr>
          <w:rStyle w:val="27"/>
          <w:rFonts w:hint="eastAsia" w:ascii="仿宋" w:hAnsi="仿宋" w:eastAsia="仿宋"/>
          <w:b w:val="0"/>
          <w:bCs w:val="0"/>
        </w:rPr>
        <w:t>、</w:t>
      </w:r>
      <w:r>
        <w:rPr>
          <w:rFonts w:hint="eastAsia" w:ascii="仿宋" w:hAnsi="仿宋" w:eastAsia="仿宋"/>
          <w:b w:val="0"/>
          <w:color w:val="000000"/>
        </w:rPr>
        <w:t>国</w:t>
      </w:r>
      <w:r>
        <w:rPr>
          <w:rStyle w:val="27"/>
          <w:rFonts w:hint="eastAsia" w:ascii="仿宋" w:hAnsi="仿宋" w:eastAsia="仿宋"/>
          <w:b w:val="0"/>
          <w:bCs w:val="0"/>
        </w:rPr>
        <w:t>有资本经营预算</w:t>
      </w:r>
      <w:r>
        <w:rPr>
          <w:rStyle w:val="27"/>
          <w:rFonts w:hint="eastAsia" w:ascii="仿宋" w:hAnsi="仿宋" w:eastAsia="仿宋"/>
          <w:b w:val="0"/>
          <w:bCs w:val="0"/>
          <w:lang w:eastAsia="zh-CN"/>
        </w:rPr>
        <w:t>财政拨款</w:t>
      </w:r>
      <w:r>
        <w:rPr>
          <w:rStyle w:val="27"/>
          <w:rFonts w:hint="eastAsia" w:ascii="仿宋" w:hAnsi="仿宋" w:eastAsia="仿宋"/>
          <w:b w:val="0"/>
          <w:bCs w:val="0"/>
        </w:rPr>
        <w:t>支出决算表</w:t>
      </w:r>
    </w:p>
    <w:p/>
    <w:sectPr>
      <w:headerReference r:id="rId3" w:type="default"/>
      <w:footerReference r:id="rId4" w:type="default"/>
      <w:pgSz w:w="11906" w:h="16838"/>
      <w:pgMar w:top="907" w:right="907" w:bottom="907" w:left="907"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9E24A"/>
    <w:multiLevelType w:val="singleLevel"/>
    <w:tmpl w:val="8189E24A"/>
    <w:lvl w:ilvl="0" w:tentative="0">
      <w:start w:val="1"/>
      <w:numFmt w:val="decimal"/>
      <w:suff w:val="nothing"/>
      <w:lvlText w:val="%1、"/>
      <w:lvlJc w:val="left"/>
    </w:lvl>
  </w:abstractNum>
  <w:abstractNum w:abstractNumId="1">
    <w:nsid w:val="C0C85B7A"/>
    <w:multiLevelType w:val="singleLevel"/>
    <w:tmpl w:val="C0C85B7A"/>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1FD7CD9"/>
    <w:multiLevelType w:val="singleLevel"/>
    <w:tmpl w:val="11FD7CD9"/>
    <w:lvl w:ilvl="0" w:tentative="0">
      <w:start w:val="2"/>
      <w:numFmt w:val="decimal"/>
      <w:suff w:val="nothing"/>
      <w:lvlText w:val="%1、"/>
      <w:lvlJc w:val="left"/>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2C8585AC"/>
    <w:multiLevelType w:val="singleLevel"/>
    <w:tmpl w:val="2C8585AC"/>
    <w:lvl w:ilvl="0" w:tentative="0">
      <w:start w:val="2"/>
      <w:numFmt w:val="decimal"/>
      <w:lvlText w:val="%1."/>
      <w:lvlJc w:val="left"/>
      <w:pPr>
        <w:tabs>
          <w:tab w:val="left" w:pos="312"/>
        </w:tabs>
      </w:pPr>
    </w:lvl>
  </w:abstractNum>
  <w:num w:numId="1">
    <w:abstractNumId w:val="1"/>
  </w:num>
  <w:num w:numId="2">
    <w:abstractNumId w:val="6"/>
  </w:num>
  <w:num w:numId="3">
    <w:abstractNumId w:val="0"/>
  </w:num>
  <w:num w:numId="4">
    <w:abstractNumId w:val="8"/>
  </w:num>
  <w:num w:numId="5">
    <w:abstractNumId w:val="2"/>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85205"/>
    <w:rsid w:val="0009184B"/>
    <w:rsid w:val="0009593C"/>
    <w:rsid w:val="000B047F"/>
    <w:rsid w:val="000B5923"/>
    <w:rsid w:val="000B5A48"/>
    <w:rsid w:val="000B6FF3"/>
    <w:rsid w:val="000C3467"/>
    <w:rsid w:val="000C3CA6"/>
    <w:rsid w:val="000D1267"/>
    <w:rsid w:val="000D1D50"/>
    <w:rsid w:val="000D5782"/>
    <w:rsid w:val="000E6613"/>
    <w:rsid w:val="000E7119"/>
    <w:rsid w:val="000E791A"/>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56D73"/>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29CE"/>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00A2"/>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8F75BA"/>
    <w:rsid w:val="00900B08"/>
    <w:rsid w:val="00902155"/>
    <w:rsid w:val="00902FA3"/>
    <w:rsid w:val="00923564"/>
    <w:rsid w:val="0092392E"/>
    <w:rsid w:val="009315F9"/>
    <w:rsid w:val="00946945"/>
    <w:rsid w:val="00951248"/>
    <w:rsid w:val="00951517"/>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07EE"/>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A6DFE"/>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470926"/>
    <w:rsid w:val="04271803"/>
    <w:rsid w:val="05D54344"/>
    <w:rsid w:val="05F07866"/>
    <w:rsid w:val="06A83220"/>
    <w:rsid w:val="08A7130E"/>
    <w:rsid w:val="0C403756"/>
    <w:rsid w:val="0E2423A0"/>
    <w:rsid w:val="0E5870CF"/>
    <w:rsid w:val="10194D70"/>
    <w:rsid w:val="101F746B"/>
    <w:rsid w:val="10554E71"/>
    <w:rsid w:val="10C055FF"/>
    <w:rsid w:val="154F4EE9"/>
    <w:rsid w:val="15DA58C7"/>
    <w:rsid w:val="16BB723D"/>
    <w:rsid w:val="182F791F"/>
    <w:rsid w:val="192332E3"/>
    <w:rsid w:val="1990198E"/>
    <w:rsid w:val="1A075612"/>
    <w:rsid w:val="1F3A2287"/>
    <w:rsid w:val="224266E1"/>
    <w:rsid w:val="22640E63"/>
    <w:rsid w:val="240371BF"/>
    <w:rsid w:val="25F97EC9"/>
    <w:rsid w:val="297658B1"/>
    <w:rsid w:val="29FD04D3"/>
    <w:rsid w:val="2B7526B3"/>
    <w:rsid w:val="2C0809A6"/>
    <w:rsid w:val="2CA84476"/>
    <w:rsid w:val="2E11578B"/>
    <w:rsid w:val="2E9B2A91"/>
    <w:rsid w:val="3008329E"/>
    <w:rsid w:val="30262AA9"/>
    <w:rsid w:val="30A574EC"/>
    <w:rsid w:val="30FD714B"/>
    <w:rsid w:val="30FE34EA"/>
    <w:rsid w:val="31687B4A"/>
    <w:rsid w:val="319F7F4E"/>
    <w:rsid w:val="32DA370D"/>
    <w:rsid w:val="33A76F60"/>
    <w:rsid w:val="33B040BC"/>
    <w:rsid w:val="33B517F6"/>
    <w:rsid w:val="34FE584C"/>
    <w:rsid w:val="355836FC"/>
    <w:rsid w:val="37360C09"/>
    <w:rsid w:val="38B836FC"/>
    <w:rsid w:val="39902D77"/>
    <w:rsid w:val="39E21040"/>
    <w:rsid w:val="3A1F4205"/>
    <w:rsid w:val="3BD37BF8"/>
    <w:rsid w:val="3D2C46FF"/>
    <w:rsid w:val="41672667"/>
    <w:rsid w:val="437B1B76"/>
    <w:rsid w:val="44321FF7"/>
    <w:rsid w:val="446311D7"/>
    <w:rsid w:val="478441D5"/>
    <w:rsid w:val="48BB7468"/>
    <w:rsid w:val="4A0C54F3"/>
    <w:rsid w:val="4B6A514F"/>
    <w:rsid w:val="5358626B"/>
    <w:rsid w:val="56245B77"/>
    <w:rsid w:val="56F346D5"/>
    <w:rsid w:val="57387F0A"/>
    <w:rsid w:val="59E90396"/>
    <w:rsid w:val="59F04533"/>
    <w:rsid w:val="5B835465"/>
    <w:rsid w:val="5C660147"/>
    <w:rsid w:val="5C6E074F"/>
    <w:rsid w:val="5E0A0A9B"/>
    <w:rsid w:val="5E6C29B0"/>
    <w:rsid w:val="5FE20DDA"/>
    <w:rsid w:val="62426543"/>
    <w:rsid w:val="63023527"/>
    <w:rsid w:val="655B7E2E"/>
    <w:rsid w:val="65A7262E"/>
    <w:rsid w:val="66EF2409"/>
    <w:rsid w:val="68550D25"/>
    <w:rsid w:val="6E931765"/>
    <w:rsid w:val="714761B4"/>
    <w:rsid w:val="72146BC2"/>
    <w:rsid w:val="7296062D"/>
    <w:rsid w:val="73FA5C8D"/>
    <w:rsid w:val="7444268D"/>
    <w:rsid w:val="754766CD"/>
    <w:rsid w:val="783A38D3"/>
    <w:rsid w:val="78FD327E"/>
    <w:rsid w:val="79AB534D"/>
    <w:rsid w:val="7A3E6211"/>
    <w:rsid w:val="7A9F774F"/>
    <w:rsid w:val="7B315461"/>
    <w:rsid w:val="7DC376A0"/>
    <w:rsid w:val="7F1216E7"/>
    <w:rsid w:val="7FE517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80"/>
    </w:pPr>
    <w:rPr>
      <w:rFonts w:ascii="Calibri" w:hAnsi="Calibri" w:eastAsia="宋体" w:cs="Times New Roman"/>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标题 1 Char"/>
    <w:basedOn w:val="14"/>
    <w:link w:val="3"/>
    <w:qFormat/>
    <w:uiPriority w:val="9"/>
    <w:rPr>
      <w:rFonts w:ascii="Times New Roman" w:hAnsi="Times New Roman"/>
      <w:b/>
      <w:bCs/>
      <w:kern w:val="44"/>
      <w:sz w:val="44"/>
      <w:szCs w:val="44"/>
    </w:rPr>
  </w:style>
  <w:style w:type="character" w:customStyle="1" w:styleId="27">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character" w:customStyle="1" w:styleId="31">
    <w:name w:val="??????1"/>
    <w:qFormat/>
    <w:uiPriority w:val="0"/>
    <w:rPr>
      <w:rFonts w:ascii="Times New Roman" w:hAnsi="Times New Roman" w:eastAsia="Times New Roman"/>
    </w:rPr>
  </w:style>
  <w:style w:type="character" w:customStyle="1" w:styleId="32">
    <w:name w:val="font31"/>
    <w:basedOn w:val="14"/>
    <w:qFormat/>
    <w:uiPriority w:val="0"/>
    <w:rPr>
      <w:rFonts w:hint="eastAsia" w:ascii="宋体" w:hAnsi="宋体" w:eastAsia="宋体" w:cs="宋体"/>
      <w:color w:val="000000"/>
      <w:sz w:val="24"/>
      <w:szCs w:val="24"/>
      <w:u w:val="none"/>
    </w:rPr>
  </w:style>
  <w:style w:type="character" w:customStyle="1" w:styleId="33">
    <w:name w:val="font51"/>
    <w:basedOn w:val="14"/>
    <w:qFormat/>
    <w:uiPriority w:val="0"/>
    <w:rPr>
      <w:rFonts w:hint="default" w:ascii="Times New Roman" w:hAnsi="Times New Roman" w:cs="Times New Roman"/>
      <w:color w:val="000000"/>
      <w:sz w:val="24"/>
      <w:szCs w:val="24"/>
      <w:u w:val="none"/>
    </w:rPr>
  </w:style>
  <w:style w:type="character" w:customStyle="1" w:styleId="34">
    <w:name w:val="font21"/>
    <w:basedOn w:val="14"/>
    <w:qFormat/>
    <w:uiPriority w:val="0"/>
    <w:rPr>
      <w:rFonts w:hint="eastAsia" w:ascii="宋体" w:hAnsi="宋体" w:eastAsia="宋体" w:cs="宋体"/>
      <w:color w:val="000000"/>
      <w:sz w:val="16"/>
      <w:szCs w:val="16"/>
      <w:u w:val="none"/>
    </w:rPr>
  </w:style>
  <w:style w:type="character" w:customStyle="1" w:styleId="35">
    <w:name w:val="font41"/>
    <w:basedOn w:val="14"/>
    <w:qFormat/>
    <w:uiPriority w:val="0"/>
    <w:rPr>
      <w:rFonts w:hint="eastAsia" w:ascii="宋体" w:hAnsi="宋体" w:eastAsia="宋体" w:cs="宋体"/>
      <w:color w:val="000000"/>
      <w:sz w:val="24"/>
      <w:szCs w:val="24"/>
      <w:u w:val="none"/>
    </w:rPr>
  </w:style>
  <w:style w:type="character" w:customStyle="1" w:styleId="36">
    <w:name w:val="font71"/>
    <w:basedOn w:val="14"/>
    <w:qFormat/>
    <w:uiPriority w:val="0"/>
    <w:rPr>
      <w:rFonts w:hint="default" w:ascii="Times New Roman" w:hAnsi="Times New Roman" w:cs="Times New Roman"/>
      <w:color w:val="000000"/>
      <w:sz w:val="24"/>
      <w:szCs w:val="24"/>
      <w:u w:val="none"/>
    </w:rPr>
  </w:style>
  <w:style w:type="character" w:customStyle="1" w:styleId="37">
    <w:name w:val="font61"/>
    <w:basedOn w:val="14"/>
    <w:qFormat/>
    <w:uiPriority w:val="0"/>
    <w:rPr>
      <w:rFonts w:hint="default" w:ascii="Times New Roman" w:hAnsi="Times New Roman" w:cs="Times New Roman"/>
      <w:color w:val="000000"/>
      <w:sz w:val="24"/>
      <w:szCs w:val="24"/>
      <w:u w:val="none"/>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2019\&#36130;&#25919;&#25253;&#34920;\&#20915;&#31639;\2019&#24179;&#34913;&#34920;103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20\&#36130;&#25919;\&#20915;&#31639;\2020&#20915;&#31639;&#21508;&#31181;&#20998;&#26512;&#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2020\&#36130;&#25919;\&#20915;&#31639;\2020&#20915;&#31639;&#21508;&#31181;&#20998;&#26512;&#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2020\&#36130;&#25919;\&#20915;&#31639;\2020&#24180;&#37096;&#38376;&#20915;&#31639;&#20844;&#24320;&#21442;&#25968;&#21450;&#27169;&#26495;\2020&#20915;&#31639;&#20844;&#24320;&#25351;&#2663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Documents\2020\&#36130;&#25919;\&#20915;&#31639;\2020&#20915;&#31639;&#21508;&#31181;&#20998;&#26512;&#34920;.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D:\Documents\2020\&#36130;&#25919;\&#20915;&#31639;\2020&#24180;&#37096;&#38376;&#20915;&#31639;&#20844;&#24320;&#21442;&#25968;&#21450;&#27169;&#26495;\2020&#20915;&#31639;&#20844;&#24320;&#25351;&#2663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cuments\2020\&#36130;&#25919;\&#20915;&#31639;\2020&#20915;&#31639;&#21508;&#31181;&#20998;&#2651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'[2019平衡表1031-1.xlsx]收支与上年度对比 (2)'!$A$4</c:f>
              <c:strCache>
                <c:ptCount val="1"/>
                <c:pt idx="0">
                  <c:v>2019年</c:v>
                </c:pt>
              </c:strCache>
            </c:strRef>
          </c:tx>
          <c:invertIfNegative val="0"/>
          <c:dLbls>
            <c:dLbl>
              <c:idx val="0"/>
              <c:layout>
                <c:manualLayout>
                  <c:x val="-0.0277078085642317"/>
                  <c:y val="0.08243727598566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01511335012594"/>
                  <c:y val="0.0250896057347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'[2019平衡表1031-1.xlsx]收支与上年度对比 (2)'!$B$3:$C$3</c:f>
              <c:strCache>
                <c:ptCount val="2"/>
                <c:pt idx="0">
                  <c:v>收入总计</c:v>
                </c:pt>
                <c:pt idx="1">
                  <c:v>支出总计</c:v>
                </c:pt>
              </c:strCache>
            </c:strRef>
          </c:cat>
          <c:val>
            <c:numRef>
              <c:f>'[2019平衡表1031-1.xlsx]收支与上年度对比 (2)'!$B$4:$C$4</c:f>
              <c:numCache>
                <c:formatCode>#,##0.00_ </c:formatCode>
                <c:ptCount val="2"/>
                <c:pt idx="0">
                  <c:v>1793.12</c:v>
                </c:pt>
                <c:pt idx="1" c:formatCode="0.00_ ">
                  <c:v>1775.61</c:v>
                </c:pt>
              </c:numCache>
            </c:numRef>
          </c:val>
        </c:ser>
        <c:ser>
          <c:idx val="1"/>
          <c:order val="1"/>
          <c:tx>
            <c:strRef>
              <c:f>'[2019平衡表1031-1.xlsx]收支与上年度对比 (2)'!$A$5</c:f>
              <c:strCache>
                <c:ptCount val="1"/>
                <c:pt idx="0">
                  <c:v>2020年</c:v>
                </c:pt>
              </c:strCache>
            </c:strRef>
          </c:tx>
          <c:invertIfNegative val="0"/>
          <c:dLbls>
            <c:dLbl>
              <c:idx val="0"/>
              <c:layout>
                <c:manualLayout>
                  <c:x val="-0.00251889168765743"/>
                  <c:y val="0.08243727598566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264483627204"/>
                  <c:y val="0.10035842293906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'[2019平衡表1031-1.xlsx]收支与上年度对比 (2)'!$B$3:$C$3</c:f>
              <c:strCache>
                <c:ptCount val="2"/>
                <c:pt idx="0">
                  <c:v>收入总计</c:v>
                </c:pt>
                <c:pt idx="1">
                  <c:v>支出总计</c:v>
                </c:pt>
              </c:strCache>
            </c:strRef>
          </c:cat>
          <c:val>
            <c:numRef>
              <c:f>'[2019平衡表1031-1.xlsx]收支与上年度对比 (2)'!$B$5:$C$5</c:f>
              <c:numCache>
                <c:formatCode>#,##0.00_ </c:formatCode>
                <c:ptCount val="2"/>
                <c:pt idx="0">
                  <c:v>2812.15</c:v>
                </c:pt>
                <c:pt idx="1" c:formatCode="0.00_ ">
                  <c:v>1748.42</c:v>
                </c:pt>
              </c:numCache>
            </c:numRef>
          </c:val>
        </c:ser>
        <c:dLbls>
          <c:showLegendKey val="0"/>
          <c:showVal val="1"/>
          <c:showCatName val="0"/>
          <c:showSerName val="0"/>
          <c:showPercent val="0"/>
          <c:showBubbleSize val="0"/>
        </c:dLbls>
        <c:gapWidth val="150"/>
        <c:axId val="85275008"/>
        <c:axId val="85276544"/>
      </c:barChart>
      <c:catAx>
        <c:axId val="852750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276544"/>
        <c:crosses val="autoZero"/>
        <c:auto val="1"/>
        <c:lblAlgn val="ctr"/>
        <c:lblOffset val="100"/>
        <c:noMultiLvlLbl val="0"/>
      </c:catAx>
      <c:valAx>
        <c:axId val="85276544"/>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2750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'[2020决算各种分析表.xlsx]收支结构图 (2)'!$B$3</c:f>
              <c:strCache>
                <c:ptCount val="1"/>
                <c:pt idx="0">
                  <c:v>决算</c:v>
                </c:pt>
              </c:strCache>
            </c:strRef>
          </c:tx>
          <c:explosion val="0"/>
          <c:dPt>
            <c:idx val="0"/>
            <c:bubble3D val="0"/>
          </c:dPt>
          <c:dPt>
            <c:idx val="1"/>
            <c:bubble3D val="0"/>
          </c:dPt>
          <c:dPt>
            <c:idx val="2"/>
            <c:bubble3D val="0"/>
          </c:dPt>
          <c:dLbls>
            <c:dLbl>
              <c:idx val="1"/>
              <c:layout>
                <c:manualLayout>
                  <c:x val="-0.0225196850393701"/>
                  <c:y val="-0.024207130358705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01883202099737"/>
                  <c:y val="-0.014959900845727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'[2020决算各种分析表.xlsx]收支结构图 (2)'!$A$4:$A$6</c:f>
              <c:strCache>
                <c:ptCount val="3"/>
                <c:pt idx="0">
                  <c:v>一般公共预算财政拨款收入</c:v>
                </c:pt>
                <c:pt idx="1">
                  <c:v>政府性基金预算财政拨款收入</c:v>
                </c:pt>
                <c:pt idx="2">
                  <c:v>事业收入</c:v>
                </c:pt>
              </c:strCache>
            </c:strRef>
          </c:cat>
          <c:val>
            <c:numRef>
              <c:f>'[2020决算各种分析表.xlsx]收支结构图 (2)'!$B$4:$B$6</c:f>
              <c:numCache>
                <c:formatCode>0.00_ </c:formatCode>
                <c:ptCount val="3"/>
                <c:pt idx="0">
                  <c:v>1779.49</c:v>
                </c:pt>
                <c:pt idx="1">
                  <c:v>751</c:v>
                </c:pt>
                <c:pt idx="2">
                  <c:v>240.62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64183381088825"/>
          <c:y val="0.35278766310794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[2020决算各种分析表.xlsx]收支结构图!$D$3</c:f>
              <c:strCache>
                <c:ptCount val="1"/>
                <c:pt idx="0">
                  <c:v>决算</c:v>
                </c:pt>
              </c:strCache>
            </c:strRef>
          </c:tx>
          <c:explosion val="0"/>
          <c:dPt>
            <c:idx val="0"/>
            <c:bubble3D val="0"/>
          </c:dPt>
          <c:dPt>
            <c:idx val="1"/>
            <c:bubble3D val="0"/>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[2020决算各种分析表.xlsx]收支结构图!$C$4:$C$6</c:f>
              <c:strCache>
                <c:ptCount val="3"/>
                <c:pt idx="0">
                  <c:v>基本支出</c:v>
                </c:pt>
                <c:pt idx="1">
                  <c:v>项目支出</c:v>
                </c:pt>
              </c:strCache>
            </c:strRef>
          </c:cat>
          <c:val>
            <c:numRef>
              <c:f>[2020决算各种分析表.xlsx]收支结构图!$D$4:$D$6</c:f>
              <c:numCache>
                <c:formatCode>0.00_ </c:formatCode>
                <c:ptCount val="3"/>
                <c:pt idx="0">
                  <c:v>1418.2</c:v>
                </c:pt>
                <c:pt idx="1">
                  <c:v>330.52</c:v>
                </c:pt>
              </c:numCache>
            </c:numRef>
          </c:val>
        </c:ser>
        <c:dLbls>
          <c:showLegendKey val="0"/>
          <c:showVal val="0"/>
          <c:showCatName val="0"/>
          <c:showSerName val="0"/>
          <c:showPercent val="1"/>
          <c:showBubbleSize val="0"/>
          <c:showLeaderLines val="1"/>
        </c:dLbls>
        <c:firstSliceAng val="0"/>
      </c:pieChart>
    </c:plotArea>
    <c:legend>
      <c:legendPos val="r"/>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'[2020决算公开指标.xlsx]收支与上年度对比 (2)'!$A$4</c:f>
              <c:strCache>
                <c:ptCount val="1"/>
                <c:pt idx="0">
                  <c:v>2019年</c:v>
                </c:pt>
              </c:strCache>
            </c:strRef>
          </c:tx>
          <c:invertIfNegative val="0"/>
          <c:dLbls>
            <c:dLbl>
              <c:idx val="1"/>
              <c:layout>
                <c:manualLayout>
                  <c:x val="-0.0377833753148615"/>
                  <c:y val="0.1362007168458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'[2020决算公开指标.xlsx]收支与上年度对比 (2)'!$B$3:$C$3</c:f>
              <c:strCache>
                <c:ptCount val="2"/>
                <c:pt idx="0">
                  <c:v>收入总计</c:v>
                </c:pt>
                <c:pt idx="1">
                  <c:v>支出总计</c:v>
                </c:pt>
              </c:strCache>
            </c:strRef>
          </c:cat>
          <c:val>
            <c:numRef>
              <c:f>'[2020决算公开指标.xlsx]收支与上年度对比 (2)'!$B$4:$C$4</c:f>
              <c:numCache>
                <c:formatCode>#,##0.00_ </c:formatCode>
                <c:ptCount val="2"/>
                <c:pt idx="0">
                  <c:v>1614.43</c:v>
                </c:pt>
                <c:pt idx="1" c:formatCode="0.00_ ">
                  <c:v>1611.43</c:v>
                </c:pt>
              </c:numCache>
            </c:numRef>
          </c:val>
        </c:ser>
        <c:ser>
          <c:idx val="1"/>
          <c:order val="1"/>
          <c:tx>
            <c:strRef>
              <c:f>'[2020决算公开指标.xlsx]收支与上年度对比 (2)'!$A$5</c:f>
              <c:strCache>
                <c:ptCount val="1"/>
                <c:pt idx="0">
                  <c:v>2020年</c:v>
                </c:pt>
              </c:strCache>
            </c:strRef>
          </c:tx>
          <c:invertIfNegative val="0"/>
          <c:dLbls>
            <c:dLbl>
              <c:idx val="1"/>
              <c:layout>
                <c:manualLayout>
                  <c:x val="0.0478589420654912"/>
                  <c:y val="0.16845878136200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'[2020决算公开指标.xlsx]收支与上年度对比 (2)'!$B$3:$C$3</c:f>
              <c:strCache>
                <c:ptCount val="2"/>
                <c:pt idx="0">
                  <c:v>收入总计</c:v>
                </c:pt>
                <c:pt idx="1">
                  <c:v>支出总计</c:v>
                </c:pt>
              </c:strCache>
            </c:strRef>
          </c:cat>
          <c:val>
            <c:numRef>
              <c:f>'[2020决算公开指标.xlsx]收支与上年度对比 (2)'!$B$5:$C$5</c:f>
              <c:numCache>
                <c:formatCode>#,##0.00_ </c:formatCode>
                <c:ptCount val="2"/>
                <c:pt idx="0">
                  <c:v>2533.49</c:v>
                </c:pt>
                <c:pt idx="1" c:formatCode="0.00_ ">
                  <c:v>1616.81</c:v>
                </c:pt>
              </c:numCache>
            </c:numRef>
          </c:val>
        </c:ser>
        <c:dLbls>
          <c:showLegendKey val="0"/>
          <c:showVal val="0"/>
          <c:showCatName val="0"/>
          <c:showSerName val="0"/>
          <c:showPercent val="0"/>
          <c:showBubbleSize val="0"/>
        </c:dLbls>
        <c:gapWidth val="150"/>
        <c:axId val="85275008"/>
        <c:axId val="85276544"/>
      </c:barChart>
      <c:catAx>
        <c:axId val="852750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276544"/>
        <c:crosses val="autoZero"/>
        <c:auto val="1"/>
        <c:lblAlgn val="ctr"/>
        <c:lblOffset val="100"/>
        <c:noMultiLvlLbl val="0"/>
      </c:catAx>
      <c:valAx>
        <c:axId val="85276544"/>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2750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'[2020决算各种分析表.xlsx]收支结构图 (6)'!$A$4</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'[2020决算各种分析表.xlsx]收支结构图 (6)'!$B$3:$C$3</c:f>
              <c:strCache>
                <c:ptCount val="2"/>
                <c:pt idx="0">
                  <c:v>收入总计</c:v>
                </c:pt>
                <c:pt idx="1">
                  <c:v>支出总计</c:v>
                </c:pt>
              </c:strCache>
            </c:strRef>
          </c:cat>
          <c:val>
            <c:numRef>
              <c:f>'[2020决算各种分析表.xlsx]收支结构图 (6)'!$B$4:$C$4</c:f>
              <c:numCache>
                <c:formatCode>#,##0.00_ </c:formatCode>
                <c:ptCount val="2"/>
                <c:pt idx="0">
                  <c:v>1575.04</c:v>
                </c:pt>
                <c:pt idx="1" c:formatCode="0.00_ ">
                  <c:v>1611.43</c:v>
                </c:pt>
              </c:numCache>
            </c:numRef>
          </c:val>
        </c:ser>
        <c:ser>
          <c:idx val="1"/>
          <c:order val="1"/>
          <c:tx>
            <c:strRef>
              <c:f>'[2020决算各种分析表.xlsx]收支结构图 (6)'!$A$5</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'[2020决算各种分析表.xlsx]收支结构图 (6)'!$B$3:$C$3</c:f>
              <c:strCache>
                <c:ptCount val="2"/>
                <c:pt idx="0">
                  <c:v>收入总计</c:v>
                </c:pt>
                <c:pt idx="1">
                  <c:v>支出总计</c:v>
                </c:pt>
              </c:strCache>
            </c:strRef>
          </c:cat>
          <c:val>
            <c:numRef>
              <c:f>'[2020决算各种分析表.xlsx]收支结构图 (6)'!$B$5:$C$5</c:f>
              <c:numCache>
                <c:formatCode>#,##0.00_ </c:formatCode>
                <c:ptCount val="2"/>
                <c:pt idx="0">
                  <c:v>1779.49</c:v>
                </c:pt>
                <c:pt idx="1" c:formatCode="0.00_ ">
                  <c:v>1616.81</c:v>
                </c:pt>
              </c:numCache>
            </c:numRef>
          </c:val>
        </c:ser>
        <c:dLbls>
          <c:showLegendKey val="0"/>
          <c:showVal val="1"/>
          <c:showCatName val="0"/>
          <c:showSerName val="0"/>
          <c:showPercent val="0"/>
          <c:showBubbleSize val="0"/>
        </c:dLbls>
        <c:gapWidth val="219"/>
        <c:overlap val="-27"/>
        <c:axId val="584285183"/>
        <c:axId val="164308533"/>
      </c:barChart>
      <c:catAx>
        <c:axId val="5842851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08533"/>
        <c:crosses val="autoZero"/>
        <c:auto val="1"/>
        <c:lblAlgn val="ctr"/>
        <c:lblOffset val="100"/>
        <c:noMultiLvlLbl val="0"/>
      </c:catAx>
      <c:valAx>
        <c:axId val="164308533"/>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428518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'[2020决算公开指标.xlsx]Sheet8 (3)'!$A$14:$A$18</c:f>
              <c:strCache>
                <c:ptCount val="5"/>
                <c:pt idx="0">
                  <c:v>教育支出</c:v>
                </c:pt>
                <c:pt idx="1">
                  <c:v>科学技术支出</c:v>
                </c:pt>
                <c:pt idx="2">
                  <c:v>社会保障和就业支出</c:v>
                </c:pt>
                <c:pt idx="3">
                  <c:v>卫生健康支出</c:v>
                </c:pt>
                <c:pt idx="4">
                  <c:v>住房保障支出</c:v>
                </c:pt>
              </c:strCache>
            </c:strRef>
          </c:cat>
          <c:val>
            <c:numRef>
              <c:f>'[2020决算公开指标.xlsx]Sheet8 (3)'!$C$14:$C$18</c:f>
              <c:numCache>
                <c:formatCode>0.00%</c:formatCode>
                <c:ptCount val="5"/>
                <c:pt idx="0">
                  <c:v>0.728743637162066</c:v>
                </c:pt>
                <c:pt idx="1">
                  <c:v>0.00132359399063588</c:v>
                </c:pt>
                <c:pt idx="2">
                  <c:v>0.148947619077072</c:v>
                </c:pt>
                <c:pt idx="3">
                  <c:v>0.0687959624198267</c:v>
                </c:pt>
                <c:pt idx="4">
                  <c:v>0.0521891873503999</c:v>
                </c:pt>
              </c:numCache>
            </c:numRef>
          </c:val>
        </c:ser>
        <c:dLbls>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'[2020决算公开指标.xlsx]Sheet8 (3)'!$A$14:$A$18</c15:sqref>
                        </c15:formulaRef>
                      </c:ext>
                    </c:extLst>
                    <c:strCache>
                      <c:ptCount val="5"/>
                      <c:pt idx="0">
                        <c:v>教育支出</c:v>
                      </c:pt>
                      <c:pt idx="1">
                        <c:v>科学技术支出</c:v>
                      </c:pt>
                      <c:pt idx="2">
                        <c:v>社会保障和就业支出</c:v>
                      </c:pt>
                      <c:pt idx="3">
                        <c:v>卫生健康支出</c:v>
                      </c:pt>
                      <c:pt idx="4">
                        <c:v>住房保障支出</c:v>
                      </c:pt>
                    </c:strCache>
                  </c:strRef>
                </c:cat>
                <c:val>
                  <c:numRef>
                    <c:extLst>
                      <c:ext uri="{02D57815-91ED-43cb-92C2-25804820EDAC}">
                        <c15:formulaRef>
                          <c15:sqref>{1178.24,2.14,240.82,111.23,84.38}</c15:sqref>
                        </c15:formulaRef>
                      </c:ext>
                    </c:extLst>
                    <c:numCache>
                      <c:formatCode>0.00_ </c:formatCode>
                      <c:ptCount val="5"/>
                      <c:pt idx="0">
                        <c:v>1178.24</c:v>
                      </c:pt>
                      <c:pt idx="1">
                        <c:v>2.14</c:v>
                      </c:pt>
                      <c:pt idx="2">
                        <c:v>240.82</c:v>
                      </c:pt>
                      <c:pt idx="3">
                        <c:v>111.23</c:v>
                      </c:pt>
                      <c:pt idx="4">
                        <c:v>84.38</c:v>
                      </c:pt>
                    </c:numCache>
                  </c:numRef>
                </c:val>
              </c15:ser>
            </c15:filteredPieSeries>
          </c:ext>
        </c:extLst>
      </c:pieChart>
      <c:spPr>
        <a:noFill/>
        <a:ln>
          <a:noFill/>
        </a:ln>
        <a:effectLst/>
      </c:spPr>
    </c:plotArea>
    <c:legend>
      <c:legendPos val="b"/>
      <c:layout>
        <c:manualLayout>
          <c:xMode val="edge"/>
          <c:yMode val="edge"/>
          <c:x val="0.546469678749356"/>
          <c:y val="0.760457142857143"/>
          <c:w val="0.448376567600069"/>
          <c:h val="0.222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'[2020决算各种分析表.xlsx]Sheet1 (7)'!$B$3</c:f>
              <c:strCache>
                <c:ptCount val="1"/>
                <c:pt idx="0">
                  <c:v>决算数</c:v>
                </c:pt>
              </c:strCache>
            </c:strRef>
          </c:tx>
          <c:explosion val="0"/>
          <c:dPt>
            <c:idx val="0"/>
            <c:bubble3D val="0"/>
          </c:dPt>
          <c:dPt>
            <c:idx val="1"/>
            <c:bubble3D val="0"/>
          </c:dPt>
          <c:dLbls>
            <c:dLbl>
              <c:idx val="1"/>
              <c:layout>
                <c:manualLayout>
                  <c:x val="-0.0225196850393701"/>
                  <c:y val="-0.024207130358705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'[2020决算各种分析表.xlsx]Sheet1 (7)'!$A$4:$A$5</c:f>
              <c:strCache>
                <c:ptCount val="2"/>
                <c:pt idx="0">
                  <c:v>公务接待费</c:v>
                </c:pt>
                <c:pt idx="1">
                  <c:v>公务用车运行维护费</c:v>
                </c:pt>
              </c:strCache>
            </c:strRef>
          </c:cat>
          <c:val>
            <c:numRef>
              <c:f>'[2020决算各种分析表.xlsx]Sheet1 (7)'!$B$4:$B$5</c:f>
              <c:numCache>
                <c:formatCode>General</c:formatCode>
                <c:ptCount val="2"/>
                <c:pt idx="0">
                  <c:v>0.65</c:v>
                </c:pt>
                <c:pt idx="1">
                  <c:v>9.7</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DB5A0-ABAE-49E7-97BE-45E02C2DCD89}">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1436</Words>
  <Characters>8186</Characters>
  <Lines>68</Lines>
  <Paragraphs>19</Paragraphs>
  <TotalTime>1</TotalTime>
  <ScaleCrop>false</ScaleCrop>
  <LinksUpToDate>false</LinksUpToDate>
  <CharactersWithSpaces>9603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海陆空1426842565</cp:lastModifiedBy>
  <cp:lastPrinted>2021-11-16T00:00:00Z</cp:lastPrinted>
  <dcterms:modified xsi:type="dcterms:W3CDTF">2021-11-16T00:10:29Z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D44A3A4E3D2C4044B0E76D156A6961B7</vt:lpwstr>
  </property>
</Properties>
</file>